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036"/>
        <w:gridCol w:w="5028"/>
      </w:tblGrid>
      <w:tr w:rsidR="007B0733" w:rsidRPr="00E02435" w:rsidTr="0073672E">
        <w:trPr>
          <w:trHeight w:val="1073"/>
          <w:jc w:val="center"/>
        </w:trPr>
        <w:tc>
          <w:tcPr>
            <w:tcW w:w="5140" w:type="dxa"/>
          </w:tcPr>
          <w:p w:rsidR="0073672E" w:rsidRDefault="00E02435" w:rsidP="0073672E">
            <w:pPr>
              <w:jc w:val="center"/>
              <w:rPr>
                <w:b/>
              </w:rPr>
            </w:pPr>
            <w:r>
              <w:rPr>
                <w:noProof/>
              </w:rPr>
              <w:drawing>
                <wp:inline distT="0" distB="0" distL="0" distR="0">
                  <wp:extent cx="4476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714375"/>
                          </a:xfrm>
                          <a:prstGeom prst="rect">
                            <a:avLst/>
                          </a:prstGeom>
                          <a:solidFill>
                            <a:srgbClr val="FFFFFF">
                              <a:alpha val="0"/>
                            </a:srgbClr>
                          </a:solidFill>
                          <a:ln w="9525">
                            <a:noFill/>
                            <a:miter lim="800000"/>
                            <a:headEnd/>
                            <a:tailEnd/>
                          </a:ln>
                        </pic:spPr>
                      </pic:pic>
                    </a:graphicData>
                  </a:graphic>
                </wp:inline>
              </w:drawing>
            </w:r>
          </w:p>
          <w:p w:rsidR="0073672E" w:rsidRDefault="0073672E" w:rsidP="0073672E">
            <w:pPr>
              <w:jc w:val="center"/>
              <w:rPr>
                <w:b/>
              </w:rPr>
            </w:pPr>
          </w:p>
          <w:p w:rsidR="0073672E" w:rsidRPr="0073672E" w:rsidRDefault="0073672E" w:rsidP="0073672E">
            <w:pPr>
              <w:jc w:val="center"/>
              <w:rPr>
                <w:b/>
              </w:rPr>
            </w:pPr>
            <w:r w:rsidRPr="0073672E">
              <w:rPr>
                <w:b/>
              </w:rPr>
              <w:t>КИСЕЛЕВСКИЙ ГОРОДСКОЙ ОКРУГ</w:t>
            </w:r>
          </w:p>
          <w:p w:rsidR="0073672E" w:rsidRPr="0073672E" w:rsidRDefault="0073672E" w:rsidP="0073672E">
            <w:pPr>
              <w:jc w:val="center"/>
              <w:rPr>
                <w:b/>
              </w:rPr>
            </w:pPr>
          </w:p>
          <w:p w:rsidR="00305730" w:rsidRDefault="00C03E83" w:rsidP="0073672E">
            <w:pPr>
              <w:jc w:val="center"/>
              <w:rPr>
                <w:b/>
                <w:sz w:val="16"/>
                <w:szCs w:val="16"/>
              </w:rPr>
            </w:pPr>
            <w:r>
              <w:rPr>
                <w:b/>
                <w:sz w:val="16"/>
                <w:szCs w:val="16"/>
              </w:rPr>
              <w:t xml:space="preserve">КОМИТЕТ ПО УПРАВЛЕНИЮ МУНИЦИПАЛЬНЫМ ИМУЩЕСТВОМ </w:t>
            </w:r>
            <w:r w:rsidR="00305730">
              <w:rPr>
                <w:b/>
                <w:sz w:val="16"/>
                <w:szCs w:val="16"/>
              </w:rPr>
              <w:t>АДМИНИСТРАЦИЯ</w:t>
            </w:r>
          </w:p>
          <w:p w:rsidR="0073672E" w:rsidRPr="0073672E" w:rsidRDefault="00305730" w:rsidP="0073672E">
            <w:pPr>
              <w:jc w:val="center"/>
              <w:rPr>
                <w:b/>
                <w:sz w:val="16"/>
                <w:szCs w:val="16"/>
              </w:rPr>
            </w:pPr>
            <w:r>
              <w:rPr>
                <w:b/>
                <w:sz w:val="16"/>
                <w:szCs w:val="16"/>
              </w:rPr>
              <w:t xml:space="preserve"> КИСЕЛ</w:t>
            </w:r>
            <w:r w:rsidR="0073672E" w:rsidRPr="0073672E">
              <w:rPr>
                <w:b/>
                <w:sz w:val="16"/>
                <w:szCs w:val="16"/>
              </w:rPr>
              <w:t>ЕВСКОГО ГОРОДСКОГО ОКРУГА</w:t>
            </w:r>
          </w:p>
          <w:p w:rsidR="0073672E" w:rsidRPr="0073672E" w:rsidRDefault="0073672E" w:rsidP="0073672E">
            <w:pPr>
              <w:jc w:val="center"/>
              <w:rPr>
                <w:sz w:val="16"/>
                <w:szCs w:val="16"/>
              </w:rPr>
            </w:pPr>
          </w:p>
          <w:p w:rsidR="0073672E" w:rsidRPr="007A35F9" w:rsidRDefault="0073672E" w:rsidP="0073672E">
            <w:pPr>
              <w:jc w:val="center"/>
              <w:rPr>
                <w:sz w:val="16"/>
                <w:szCs w:val="16"/>
              </w:rPr>
            </w:pPr>
            <w:r w:rsidRPr="007A35F9">
              <w:rPr>
                <w:sz w:val="16"/>
                <w:szCs w:val="16"/>
              </w:rPr>
              <w:t xml:space="preserve">652700, Кемеровская </w:t>
            </w:r>
            <w:proofErr w:type="spellStart"/>
            <w:r w:rsidRPr="007A35F9">
              <w:rPr>
                <w:sz w:val="16"/>
                <w:szCs w:val="16"/>
              </w:rPr>
              <w:t>обл</w:t>
            </w:r>
            <w:proofErr w:type="spellEnd"/>
            <w:r w:rsidRPr="007A35F9">
              <w:rPr>
                <w:sz w:val="16"/>
                <w:szCs w:val="16"/>
              </w:rPr>
              <w:t>, Киселевск г,</w:t>
            </w:r>
          </w:p>
          <w:p w:rsidR="0073672E" w:rsidRPr="007A35F9" w:rsidRDefault="0073672E" w:rsidP="0073672E">
            <w:pPr>
              <w:jc w:val="center"/>
              <w:rPr>
                <w:sz w:val="16"/>
                <w:szCs w:val="16"/>
              </w:rPr>
            </w:pPr>
            <w:r w:rsidRPr="007A35F9">
              <w:rPr>
                <w:sz w:val="16"/>
                <w:szCs w:val="16"/>
              </w:rPr>
              <w:t xml:space="preserve">Ленина </w:t>
            </w:r>
            <w:proofErr w:type="spellStart"/>
            <w:r w:rsidRPr="007A35F9">
              <w:rPr>
                <w:sz w:val="16"/>
                <w:szCs w:val="16"/>
              </w:rPr>
              <w:t>ул</w:t>
            </w:r>
            <w:proofErr w:type="spellEnd"/>
            <w:r w:rsidRPr="007A35F9">
              <w:rPr>
                <w:sz w:val="16"/>
                <w:szCs w:val="16"/>
              </w:rPr>
              <w:t>, дом № 30</w:t>
            </w:r>
          </w:p>
          <w:p w:rsidR="0073672E" w:rsidRPr="007A35F9" w:rsidRDefault="0073672E" w:rsidP="0073672E">
            <w:pPr>
              <w:jc w:val="center"/>
              <w:rPr>
                <w:sz w:val="16"/>
                <w:szCs w:val="16"/>
              </w:rPr>
            </w:pPr>
            <w:r w:rsidRPr="007A35F9">
              <w:rPr>
                <w:sz w:val="16"/>
                <w:szCs w:val="16"/>
              </w:rPr>
              <w:t>Тел. +7 (38464) 2-</w:t>
            </w:r>
            <w:r w:rsidR="00305730">
              <w:rPr>
                <w:sz w:val="16"/>
                <w:szCs w:val="16"/>
              </w:rPr>
              <w:t>0</w:t>
            </w:r>
            <w:r w:rsidR="00C03E83">
              <w:rPr>
                <w:sz w:val="16"/>
                <w:szCs w:val="16"/>
              </w:rPr>
              <w:t>0-94</w:t>
            </w:r>
          </w:p>
          <w:p w:rsidR="0073672E" w:rsidRPr="00C03E83" w:rsidRDefault="00C03E83" w:rsidP="0073672E">
            <w:pPr>
              <w:jc w:val="center"/>
              <w:rPr>
                <w:sz w:val="16"/>
                <w:szCs w:val="16"/>
              </w:rPr>
            </w:pPr>
            <w:r w:rsidRPr="00C03E83">
              <w:rPr>
                <w:sz w:val="16"/>
                <w:szCs w:val="16"/>
              </w:rPr>
              <w:t>kumiksl@yandex.ru</w:t>
            </w:r>
          </w:p>
          <w:p w:rsidR="007B0733" w:rsidRPr="007A35F9" w:rsidRDefault="00305730" w:rsidP="00DB6CEF">
            <w:pPr>
              <w:rPr>
                <w:sz w:val="16"/>
                <w:szCs w:val="16"/>
              </w:rPr>
            </w:pPr>
            <w:r>
              <w:rPr>
                <w:sz w:val="16"/>
                <w:szCs w:val="16"/>
              </w:rPr>
              <w:t xml:space="preserve">                           </w:t>
            </w:r>
            <w:r w:rsidR="0073672E" w:rsidRPr="007A35F9">
              <w:rPr>
                <w:sz w:val="16"/>
                <w:szCs w:val="16"/>
              </w:rPr>
              <w:t xml:space="preserve">от </w:t>
            </w:r>
            <w:r w:rsidR="00664BEE">
              <w:rPr>
                <w:sz w:val="16"/>
                <w:szCs w:val="16"/>
              </w:rPr>
              <w:t>05.02.2024</w:t>
            </w:r>
            <w:r w:rsidR="0073672E" w:rsidRPr="007A35F9">
              <w:rPr>
                <w:sz w:val="16"/>
                <w:szCs w:val="16"/>
              </w:rPr>
              <w:t xml:space="preserve"> № </w:t>
            </w:r>
            <w:r w:rsidR="00DB6CEF">
              <w:rPr>
                <w:sz w:val="16"/>
                <w:szCs w:val="16"/>
              </w:rPr>
              <w:t>БН</w:t>
            </w:r>
          </w:p>
        </w:tc>
        <w:tc>
          <w:tcPr>
            <w:tcW w:w="5140" w:type="dxa"/>
          </w:tcPr>
          <w:p w:rsidR="0008117B" w:rsidRPr="0008117B" w:rsidRDefault="00664BEE" w:rsidP="0008117B">
            <w:pPr>
              <w:jc w:val="right"/>
              <w:rPr>
                <w:sz w:val="24"/>
                <w:szCs w:val="24"/>
              </w:rPr>
            </w:pPr>
            <w:r>
              <w:rPr>
                <w:sz w:val="24"/>
                <w:szCs w:val="24"/>
              </w:rPr>
              <w:t xml:space="preserve">Главе Киселевского городского округа                         </w:t>
            </w:r>
            <w:r w:rsidR="00CC1AA7">
              <w:rPr>
                <w:sz w:val="24"/>
                <w:szCs w:val="24"/>
              </w:rPr>
              <w:t xml:space="preserve">К.Н. </w:t>
            </w:r>
            <w:proofErr w:type="spellStart"/>
            <w:r w:rsidR="00CC1AA7">
              <w:rPr>
                <w:sz w:val="24"/>
                <w:szCs w:val="24"/>
              </w:rPr>
              <w:t>Бал</w:t>
            </w:r>
            <w:r>
              <w:rPr>
                <w:sz w:val="24"/>
                <w:szCs w:val="24"/>
              </w:rPr>
              <w:t>аганскому</w:t>
            </w:r>
            <w:proofErr w:type="spellEnd"/>
          </w:p>
        </w:tc>
      </w:tr>
      <w:tr w:rsidR="007A35F9" w:rsidRPr="00E02435" w:rsidTr="0073672E">
        <w:trPr>
          <w:trHeight w:val="1073"/>
          <w:jc w:val="center"/>
        </w:trPr>
        <w:tc>
          <w:tcPr>
            <w:tcW w:w="5140" w:type="dxa"/>
          </w:tcPr>
          <w:p w:rsidR="007A35F9" w:rsidRPr="007A35F9" w:rsidRDefault="007A35F9" w:rsidP="00977177">
            <w:pPr>
              <w:jc w:val="center"/>
              <w:rPr>
                <w:noProof/>
                <w:sz w:val="16"/>
                <w:szCs w:val="16"/>
              </w:rPr>
            </w:pPr>
          </w:p>
        </w:tc>
        <w:tc>
          <w:tcPr>
            <w:tcW w:w="5140" w:type="dxa"/>
          </w:tcPr>
          <w:p w:rsidR="007A35F9" w:rsidRDefault="007A35F9" w:rsidP="0073672E">
            <w:pPr>
              <w:jc w:val="right"/>
              <w:rPr>
                <w:sz w:val="24"/>
              </w:rPr>
            </w:pPr>
          </w:p>
        </w:tc>
      </w:tr>
    </w:tbl>
    <w:p w:rsidR="009024BF" w:rsidRPr="00664BEE" w:rsidRDefault="00664BEE" w:rsidP="00664BEE">
      <w:pPr>
        <w:ind w:firstLine="720"/>
        <w:jc w:val="center"/>
        <w:rPr>
          <w:b/>
        </w:rPr>
      </w:pPr>
      <w:r w:rsidRPr="00664BEE">
        <w:rPr>
          <w:b/>
        </w:rPr>
        <w:t>ПРАВОВАЯ ПОЗИЦИЯ ОТНОСИТЕЛЬНО ОСНОВАНИЙ ОТКАЗА В СОГЛАСОВАНИИ ПРОЕКТА ПОСТАНОВЛЕНИЯ АДМИНГИСТРАЦИИ КГО «ОБ УТВЕРЖДЕНИИ СХЕМЫ ВОДОСНАБЖЕНИЯ И ВОДООТВЕДЕНИЯ К</w:t>
      </w:r>
      <w:r>
        <w:rPr>
          <w:b/>
        </w:rPr>
        <w:t>ГО</w:t>
      </w:r>
      <w:r w:rsidRPr="00664BEE">
        <w:rPr>
          <w:b/>
        </w:rPr>
        <w:t xml:space="preserve"> С </w:t>
      </w:r>
      <w:r w:rsidR="008F36CF">
        <w:rPr>
          <w:b/>
        </w:rPr>
        <w:t>ПЕРСПЕКТИВНОЙ ДО 2021 ГОДА. АКТУ</w:t>
      </w:r>
      <w:bookmarkStart w:id="0" w:name="_GoBack"/>
      <w:bookmarkEnd w:id="0"/>
      <w:r w:rsidRPr="00664BEE">
        <w:rPr>
          <w:b/>
        </w:rPr>
        <w:t xml:space="preserve">АЛИЗАЦИЯ НА 2024 </w:t>
      </w:r>
      <w:proofErr w:type="gramStart"/>
      <w:r w:rsidRPr="00664BEE">
        <w:rPr>
          <w:b/>
        </w:rPr>
        <w:t>ГОД</w:t>
      </w:r>
      <w:r>
        <w:rPr>
          <w:b/>
        </w:rPr>
        <w:t xml:space="preserve">»   </w:t>
      </w:r>
      <w:proofErr w:type="gramEnd"/>
      <w:r>
        <w:rPr>
          <w:b/>
        </w:rPr>
        <w:t xml:space="preserve">                 (далее – Постановление)</w:t>
      </w:r>
    </w:p>
    <w:p w:rsidR="00664BEE" w:rsidRPr="00DB6CEF" w:rsidRDefault="00664BEE" w:rsidP="00371CE4">
      <w:pPr>
        <w:spacing w:after="1"/>
        <w:ind w:firstLine="540"/>
        <w:jc w:val="both"/>
        <w:rPr>
          <w:rFonts w:eastAsiaTheme="minorEastAsia"/>
          <w:sz w:val="22"/>
          <w:szCs w:val="22"/>
        </w:rPr>
      </w:pPr>
      <w:r w:rsidRPr="00DB6CEF">
        <w:rPr>
          <w:sz w:val="22"/>
          <w:szCs w:val="22"/>
        </w:rPr>
        <w:t>На рассмотрение КУМИ КГО представлен проекта Постановления. КУМИ КГО в согласовании прое</w:t>
      </w:r>
      <w:r w:rsidRPr="00DB6CEF">
        <w:rPr>
          <w:rFonts w:eastAsiaTheme="minorEastAsia"/>
          <w:sz w:val="22"/>
          <w:szCs w:val="22"/>
        </w:rPr>
        <w:t>кта отказано по следующим обстоятельствам.</w:t>
      </w:r>
    </w:p>
    <w:p w:rsidR="00EF6A62" w:rsidRPr="00DB6CEF" w:rsidRDefault="00664BEE" w:rsidP="00371CE4">
      <w:pPr>
        <w:spacing w:after="1"/>
        <w:ind w:firstLine="540"/>
        <w:jc w:val="both"/>
        <w:rPr>
          <w:rFonts w:eastAsiaTheme="minorEastAsia"/>
          <w:sz w:val="22"/>
          <w:szCs w:val="22"/>
        </w:rPr>
      </w:pPr>
      <w:r w:rsidRPr="00DB6CEF">
        <w:rPr>
          <w:rFonts w:eastAsiaTheme="minorEastAsia"/>
          <w:sz w:val="22"/>
          <w:szCs w:val="22"/>
        </w:rPr>
        <w:t>Согласно ч. 1, 3</w:t>
      </w:r>
      <w:r w:rsidR="00C31A5D" w:rsidRPr="00DB6CEF">
        <w:rPr>
          <w:rFonts w:eastAsiaTheme="minorEastAsia"/>
          <w:sz w:val="22"/>
          <w:szCs w:val="22"/>
        </w:rPr>
        <w:t>, 5</w:t>
      </w:r>
      <w:r w:rsidRPr="00DB6CEF">
        <w:rPr>
          <w:rFonts w:eastAsiaTheme="minorEastAsia"/>
          <w:sz w:val="22"/>
          <w:szCs w:val="22"/>
        </w:rPr>
        <w:t xml:space="preserve"> ст. 38 федерального закона «О водоснабжении и водоотведении», развитие централизованных систем горячего водоснабжения, холодного водоснабжения и (или) водоотведения (далее – ЦС) осуществляется в соответствии со </w:t>
      </w:r>
      <w:hyperlink r:id="rId8">
        <w:r w:rsidRPr="00DB6CEF">
          <w:rPr>
            <w:rFonts w:eastAsiaTheme="minorEastAsia"/>
            <w:sz w:val="22"/>
            <w:szCs w:val="22"/>
          </w:rPr>
          <w:t>схемами</w:t>
        </w:r>
      </w:hyperlink>
      <w:r w:rsidRPr="00DB6CEF">
        <w:rPr>
          <w:rFonts w:eastAsiaTheme="minorEastAsia"/>
          <w:sz w:val="22"/>
          <w:szCs w:val="22"/>
        </w:rPr>
        <w:t xml:space="preserve"> водоснабжения и водоотведения городских округов(далее–схемы</w:t>
      </w:r>
      <w:proofErr w:type="gramStart"/>
      <w:r w:rsidRPr="00DB6CEF">
        <w:rPr>
          <w:rFonts w:eastAsiaTheme="minorEastAsia"/>
          <w:sz w:val="22"/>
          <w:szCs w:val="22"/>
        </w:rPr>
        <w:t>).</w:t>
      </w:r>
      <w:r w:rsidR="001030C3" w:rsidRPr="00DB6CEF">
        <w:rPr>
          <w:rFonts w:eastAsiaTheme="minorEastAsia"/>
          <w:sz w:val="22"/>
          <w:szCs w:val="22"/>
        </w:rPr>
        <w:t xml:space="preserve">   </w:t>
      </w:r>
      <w:proofErr w:type="gramEnd"/>
      <w:r w:rsidR="001030C3" w:rsidRPr="00DB6CEF">
        <w:rPr>
          <w:rFonts w:eastAsiaTheme="minorEastAsia"/>
          <w:sz w:val="22"/>
          <w:szCs w:val="22"/>
        </w:rPr>
        <w:t xml:space="preserve">              </w:t>
      </w:r>
      <w:hyperlink r:id="rId9">
        <w:r w:rsidR="00EF6A62" w:rsidRPr="00DB6CEF">
          <w:rPr>
            <w:rFonts w:eastAsiaTheme="minorEastAsia"/>
            <w:sz w:val="22"/>
            <w:szCs w:val="22"/>
          </w:rPr>
          <w:br/>
        </w:r>
        <w:r w:rsidR="00EF6A62" w:rsidRPr="00DB6CEF">
          <w:rPr>
            <w:rFonts w:eastAsiaTheme="minorEastAsia"/>
            <w:sz w:val="22"/>
            <w:szCs w:val="22"/>
          </w:rPr>
          <w:t xml:space="preserve">      Постановлением Правительства РФ от 05.09.2013 №782 «О схемах водоснабжения и водоотведения», утверждены Правила разработки и утверждения схем водоснабжения и водоотведения»</w:t>
        </w:r>
        <w:r w:rsidR="001030C3" w:rsidRPr="00DB6CEF">
          <w:rPr>
            <w:rFonts w:eastAsiaTheme="minorEastAsia"/>
            <w:sz w:val="22"/>
            <w:szCs w:val="22"/>
          </w:rPr>
          <w:t xml:space="preserve"> </w:t>
        </w:r>
        <w:r w:rsidR="00316B9B" w:rsidRPr="00DB6CEF">
          <w:rPr>
            <w:rFonts w:eastAsiaTheme="minorEastAsia"/>
            <w:sz w:val="22"/>
            <w:szCs w:val="22"/>
          </w:rPr>
          <w:t>(далее – Правила)</w:t>
        </w:r>
        <w:r w:rsidR="00EF6A62" w:rsidRPr="00DB6CEF">
          <w:rPr>
            <w:rFonts w:eastAsiaTheme="minorEastAsia"/>
            <w:sz w:val="22"/>
            <w:szCs w:val="22"/>
          </w:rPr>
          <w:t>, «Требованиями к содержанию схем водоснабжения и водоотведения»</w:t>
        </w:r>
        <w:r w:rsidR="001030C3" w:rsidRPr="00DB6CEF">
          <w:rPr>
            <w:rFonts w:eastAsiaTheme="minorEastAsia"/>
            <w:sz w:val="22"/>
            <w:szCs w:val="22"/>
          </w:rPr>
          <w:t xml:space="preserve"> </w:t>
        </w:r>
        <w:r w:rsidR="00316B9B" w:rsidRPr="00DB6CEF">
          <w:rPr>
            <w:rFonts w:eastAsiaTheme="minorEastAsia"/>
            <w:sz w:val="22"/>
            <w:szCs w:val="22"/>
          </w:rPr>
          <w:t>(далее – Требования)</w:t>
        </w:r>
        <w:r w:rsidR="00EF6A62" w:rsidRPr="00DB6CEF">
          <w:rPr>
            <w:rFonts w:eastAsiaTheme="minorEastAsia"/>
            <w:sz w:val="22"/>
            <w:szCs w:val="22"/>
          </w:rPr>
          <w:t xml:space="preserve">. </w:t>
        </w:r>
      </w:hyperlink>
    </w:p>
    <w:p w:rsidR="00371CE4" w:rsidRDefault="00371CE4" w:rsidP="00371CE4">
      <w:pPr>
        <w:spacing w:after="1"/>
        <w:ind w:firstLine="540"/>
        <w:jc w:val="both"/>
        <w:rPr>
          <w:rFonts w:eastAsiaTheme="minorEastAsia"/>
          <w:sz w:val="22"/>
          <w:szCs w:val="22"/>
        </w:rPr>
      </w:pPr>
      <w:r w:rsidRPr="00DB6CEF">
        <w:rPr>
          <w:rFonts w:eastAsiaTheme="minorEastAsia"/>
          <w:sz w:val="22"/>
          <w:szCs w:val="22"/>
        </w:rPr>
        <w:t xml:space="preserve">Распоряжением КУМИ КГО от 01.08.2023 г. №542-р установлен перечень имущества, формирующий состав централизованной системы холодного водоснабжения КГО с указанием наименований, технических параметров и кадастровых номеров объектов. На основании данных кадастрового учета, топографической </w:t>
      </w:r>
      <w:proofErr w:type="spellStart"/>
      <w:r w:rsidRPr="00DB6CEF">
        <w:rPr>
          <w:rFonts w:eastAsiaTheme="minorEastAsia"/>
          <w:sz w:val="22"/>
          <w:szCs w:val="22"/>
        </w:rPr>
        <w:t>топосоновы</w:t>
      </w:r>
      <w:proofErr w:type="spellEnd"/>
      <w:r w:rsidRPr="00DB6CEF">
        <w:rPr>
          <w:rFonts w:eastAsiaTheme="minorEastAsia"/>
          <w:sz w:val="22"/>
          <w:szCs w:val="22"/>
        </w:rPr>
        <w:t>, составлена Схема с указанием объектов системы централизованного холодного водоснабжения города на карте города.</w:t>
      </w:r>
    </w:p>
    <w:p w:rsidR="00DB6CEF" w:rsidRPr="00DB6CEF" w:rsidRDefault="00DB6CEF" w:rsidP="00371CE4">
      <w:pPr>
        <w:spacing w:after="1"/>
        <w:ind w:firstLine="540"/>
        <w:jc w:val="both"/>
        <w:rPr>
          <w:rFonts w:eastAsiaTheme="minorEastAsia"/>
          <w:sz w:val="22"/>
          <w:szCs w:val="22"/>
        </w:rPr>
      </w:pPr>
      <w:r>
        <w:rPr>
          <w:rFonts w:eastAsiaTheme="minorEastAsia"/>
          <w:sz w:val="22"/>
          <w:szCs w:val="22"/>
        </w:rPr>
        <w:t>Рассмотрев представленный проект, КУМИ КГО полагает, что его содержание незаконно по следующим обстоятельствам.</w:t>
      </w:r>
    </w:p>
    <w:p w:rsidR="00316B9B" w:rsidRPr="00DB6CEF" w:rsidRDefault="00F77E2E" w:rsidP="00371CE4">
      <w:pPr>
        <w:spacing w:after="1"/>
        <w:ind w:firstLine="540"/>
        <w:jc w:val="both"/>
        <w:rPr>
          <w:b/>
          <w:sz w:val="22"/>
          <w:szCs w:val="22"/>
        </w:rPr>
      </w:pPr>
      <w:r>
        <w:rPr>
          <w:sz w:val="22"/>
          <w:szCs w:val="22"/>
        </w:rPr>
        <w:t xml:space="preserve">1. </w:t>
      </w:r>
      <w:r w:rsidR="00316B9B" w:rsidRPr="00DB6CEF">
        <w:rPr>
          <w:sz w:val="22"/>
          <w:szCs w:val="22"/>
        </w:rPr>
        <w:t>П. 8 Правил определен исчерпывающий перечень оснований проведения актуализации Схемы, которая согласно п. 9 проводится в порядке</w:t>
      </w:r>
      <w:r w:rsidR="007F0258" w:rsidRPr="00DB6CEF">
        <w:rPr>
          <w:sz w:val="22"/>
          <w:szCs w:val="22"/>
        </w:rPr>
        <w:t>,</w:t>
      </w:r>
      <w:r w:rsidR="00316B9B" w:rsidRPr="00DB6CEF">
        <w:rPr>
          <w:sz w:val="22"/>
          <w:szCs w:val="22"/>
        </w:rPr>
        <w:t xml:space="preserve"> предусмотренном для утверждения схем. </w:t>
      </w:r>
      <w:r w:rsidR="00371CE4" w:rsidRPr="00DB6CEF">
        <w:rPr>
          <w:b/>
          <w:sz w:val="22"/>
          <w:szCs w:val="22"/>
        </w:rPr>
        <w:t>Представленный проект не содержит оснований проведения актуализации.</w:t>
      </w:r>
    </w:p>
    <w:p w:rsidR="00E33BA6" w:rsidRPr="00DB6CEF" w:rsidRDefault="00F77E2E" w:rsidP="00E33BA6">
      <w:pPr>
        <w:spacing w:after="1" w:line="220" w:lineRule="auto"/>
        <w:ind w:firstLine="540"/>
        <w:jc w:val="both"/>
        <w:rPr>
          <w:sz w:val="22"/>
          <w:szCs w:val="22"/>
        </w:rPr>
      </w:pPr>
      <w:r>
        <w:rPr>
          <w:sz w:val="22"/>
          <w:szCs w:val="22"/>
        </w:rPr>
        <w:t xml:space="preserve">2. </w:t>
      </w:r>
      <w:r w:rsidR="00E33BA6" w:rsidRPr="00DB6CEF">
        <w:rPr>
          <w:sz w:val="22"/>
          <w:szCs w:val="22"/>
        </w:rPr>
        <w:t xml:space="preserve">В нарушение </w:t>
      </w:r>
      <w:r>
        <w:rPr>
          <w:sz w:val="22"/>
          <w:szCs w:val="22"/>
        </w:rPr>
        <w:t xml:space="preserve">ст. 38 Закона №416, </w:t>
      </w:r>
      <w:r w:rsidR="00E33BA6" w:rsidRPr="00DB6CEF">
        <w:rPr>
          <w:sz w:val="22"/>
          <w:szCs w:val="22"/>
        </w:rPr>
        <w:t xml:space="preserve">п.2, 3, 7 Правил проект разработан без учета и использования материалов инженерно-геологических изысканий и исследований, опорных и адресных планов, регистрационных планов подземных коммуникаций, материалов инженерно-геодезических изысканий и исследований, картографической и геодезической основы государственного кадастра недвижимости, публичных кадастровых карт, схем, чертежей, топографо-геодезической подосновы, </w:t>
      </w:r>
      <w:proofErr w:type="spellStart"/>
      <w:r w:rsidR="00E33BA6" w:rsidRPr="00DB6CEF">
        <w:rPr>
          <w:sz w:val="22"/>
          <w:szCs w:val="22"/>
        </w:rPr>
        <w:t>космо</w:t>
      </w:r>
      <w:proofErr w:type="spellEnd"/>
      <w:r w:rsidR="00E33BA6" w:rsidRPr="00DB6CEF">
        <w:rPr>
          <w:sz w:val="22"/>
          <w:szCs w:val="22"/>
        </w:rPr>
        <w:t>- и аэрофотосъемочных материалов; в) сведения о техническом состоянии объектов ЦС, в том числе о результатах ТО, об инвестиционных программах, реализуемых организациями, осуществляющими водоснабжение и (или) водоотведение.</w:t>
      </w:r>
    </w:p>
    <w:p w:rsidR="000C66F7" w:rsidRPr="00DB6CEF" w:rsidRDefault="00F77E2E" w:rsidP="00F77E2E">
      <w:pPr>
        <w:spacing w:after="1" w:line="220" w:lineRule="auto"/>
        <w:ind w:firstLine="540"/>
        <w:jc w:val="both"/>
        <w:rPr>
          <w:sz w:val="22"/>
          <w:szCs w:val="22"/>
        </w:rPr>
      </w:pPr>
      <w:r>
        <w:rPr>
          <w:sz w:val="22"/>
          <w:szCs w:val="22"/>
        </w:rPr>
        <w:t>3. В нарушение п</w:t>
      </w:r>
      <w:r w:rsidR="00BB2A7F" w:rsidRPr="00DB6CEF">
        <w:rPr>
          <w:sz w:val="22"/>
          <w:szCs w:val="22"/>
        </w:rPr>
        <w:t>. 7</w:t>
      </w:r>
      <w:r w:rsidR="0054336D" w:rsidRPr="00DB6CEF">
        <w:rPr>
          <w:sz w:val="22"/>
          <w:szCs w:val="22"/>
        </w:rPr>
        <w:t>. Раздел</w:t>
      </w:r>
      <w:r w:rsidR="00BB2A7F" w:rsidRPr="00DB6CEF">
        <w:rPr>
          <w:sz w:val="22"/>
          <w:szCs w:val="22"/>
        </w:rPr>
        <w:t>а «</w:t>
      </w:r>
      <w:r w:rsidR="0054336D" w:rsidRPr="00DB6CEF">
        <w:rPr>
          <w:sz w:val="22"/>
          <w:szCs w:val="22"/>
        </w:rPr>
        <w:t>Направления развития центра</w:t>
      </w:r>
      <w:r w:rsidR="00BB2A7F" w:rsidRPr="00DB6CEF">
        <w:rPr>
          <w:sz w:val="22"/>
          <w:szCs w:val="22"/>
        </w:rPr>
        <w:t>лизованных систем водоснабжения»</w:t>
      </w:r>
      <w:r>
        <w:rPr>
          <w:sz w:val="22"/>
          <w:szCs w:val="22"/>
        </w:rPr>
        <w:t xml:space="preserve"> проект </w:t>
      </w:r>
      <w:proofErr w:type="gramStart"/>
      <w:r>
        <w:rPr>
          <w:sz w:val="22"/>
          <w:szCs w:val="22"/>
        </w:rPr>
        <w:t>не  содержит</w:t>
      </w:r>
      <w:proofErr w:type="gramEnd"/>
      <w:r w:rsidR="000C66F7" w:rsidRPr="00DB6CEF">
        <w:rPr>
          <w:sz w:val="22"/>
          <w:szCs w:val="22"/>
        </w:rPr>
        <w:t xml:space="preserve"> наименование организации, которая наделена статусом гарантирующей организации.</w:t>
      </w:r>
    </w:p>
    <w:p w:rsidR="00402A89" w:rsidRPr="00DB6CEF" w:rsidRDefault="00F77E2E" w:rsidP="00402A89">
      <w:pPr>
        <w:autoSpaceDE w:val="0"/>
        <w:autoSpaceDN w:val="0"/>
        <w:adjustRightInd w:val="0"/>
        <w:ind w:firstLine="540"/>
        <w:jc w:val="both"/>
        <w:rPr>
          <w:sz w:val="22"/>
          <w:szCs w:val="22"/>
        </w:rPr>
      </w:pPr>
      <w:r>
        <w:rPr>
          <w:sz w:val="22"/>
          <w:szCs w:val="22"/>
        </w:rPr>
        <w:t>4. В нарушение п</w:t>
      </w:r>
      <w:r w:rsidR="00BB2A7F" w:rsidRPr="00DB6CEF">
        <w:rPr>
          <w:sz w:val="22"/>
          <w:szCs w:val="22"/>
        </w:rPr>
        <w:t>. 8. Требований в разделе «Баланс водоснабжения и потребления горячей, питьевой, технической воды»</w:t>
      </w:r>
      <w:r>
        <w:rPr>
          <w:sz w:val="22"/>
          <w:szCs w:val="22"/>
        </w:rPr>
        <w:t xml:space="preserve">, проект не содержит </w:t>
      </w:r>
      <w:r w:rsidR="00BB2A7F" w:rsidRPr="00DB6CEF">
        <w:rPr>
          <w:sz w:val="22"/>
          <w:szCs w:val="22"/>
        </w:rPr>
        <w:t>территориальн</w:t>
      </w:r>
      <w:r>
        <w:rPr>
          <w:sz w:val="22"/>
          <w:szCs w:val="22"/>
        </w:rPr>
        <w:t>ого</w:t>
      </w:r>
      <w:r w:rsidR="00BB2A7F" w:rsidRPr="00DB6CEF">
        <w:rPr>
          <w:sz w:val="22"/>
          <w:szCs w:val="22"/>
        </w:rPr>
        <w:t xml:space="preserve"> баланс</w:t>
      </w:r>
      <w:r>
        <w:rPr>
          <w:sz w:val="22"/>
          <w:szCs w:val="22"/>
        </w:rPr>
        <w:t>а</w:t>
      </w:r>
      <w:r w:rsidR="00BB2A7F" w:rsidRPr="00DB6CEF">
        <w:rPr>
          <w:sz w:val="22"/>
          <w:szCs w:val="22"/>
        </w:rPr>
        <w:t xml:space="preserve"> подачи горячей, питьевой, технической воды по технологическим зонам водоснабжения (годовой и в сутки максимального водопотребления)</w:t>
      </w:r>
      <w:r w:rsidR="003F18E9" w:rsidRPr="00DB6CEF">
        <w:rPr>
          <w:sz w:val="22"/>
          <w:szCs w:val="22"/>
        </w:rPr>
        <w:t xml:space="preserve">; </w:t>
      </w:r>
      <w:r>
        <w:rPr>
          <w:sz w:val="22"/>
          <w:szCs w:val="22"/>
        </w:rPr>
        <w:t>структурного баланса</w:t>
      </w:r>
      <w:r w:rsidR="003F18E9" w:rsidRPr="00DB6CEF">
        <w:rPr>
          <w:sz w:val="22"/>
          <w:szCs w:val="22"/>
        </w:rPr>
        <w:t xml:space="preserve">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городских округ</w:t>
      </w:r>
      <w:r w:rsidR="0036589D" w:rsidRPr="00DB6CEF">
        <w:rPr>
          <w:sz w:val="22"/>
          <w:szCs w:val="22"/>
        </w:rPr>
        <w:t>ов (пожаротушение, полив и др.)</w:t>
      </w:r>
      <w:r w:rsidR="00402A89" w:rsidRPr="00DB6CEF">
        <w:rPr>
          <w:sz w:val="22"/>
          <w:szCs w:val="22"/>
        </w:rPr>
        <w:t>; пла</w:t>
      </w:r>
      <w:r>
        <w:rPr>
          <w:sz w:val="22"/>
          <w:szCs w:val="22"/>
        </w:rPr>
        <w:t>нов по установке приборов учета.</w:t>
      </w:r>
    </w:p>
    <w:p w:rsidR="00664BEE" w:rsidRPr="00DB6CEF" w:rsidRDefault="00F77E2E" w:rsidP="007335DB">
      <w:pPr>
        <w:spacing w:after="1" w:line="220" w:lineRule="auto"/>
        <w:ind w:firstLine="540"/>
        <w:jc w:val="both"/>
        <w:rPr>
          <w:sz w:val="22"/>
          <w:szCs w:val="22"/>
        </w:rPr>
      </w:pPr>
      <w:r>
        <w:rPr>
          <w:sz w:val="22"/>
          <w:szCs w:val="22"/>
        </w:rPr>
        <w:t xml:space="preserve">5. </w:t>
      </w:r>
      <w:r w:rsidR="000C66F7" w:rsidRPr="00DB6CEF">
        <w:rPr>
          <w:sz w:val="22"/>
          <w:szCs w:val="22"/>
        </w:rPr>
        <w:t>В нарушение п. 6 Требований</w:t>
      </w:r>
      <w:r>
        <w:rPr>
          <w:sz w:val="22"/>
          <w:szCs w:val="22"/>
        </w:rPr>
        <w:t>,</w:t>
      </w:r>
      <w:r w:rsidR="000C66F7" w:rsidRPr="00DB6CEF">
        <w:rPr>
          <w:sz w:val="22"/>
          <w:szCs w:val="22"/>
        </w:rPr>
        <w:t xml:space="preserve"> Проект не содержит перечня лиц, владеющих на праве собственности или другом законном основании объектами ЦС с указанием принадлежащих этим лицам таких объектов (границ зон, в которых расположены такие объекты). Между тем, одной из таких организаций является ООО «</w:t>
      </w:r>
      <w:proofErr w:type="spellStart"/>
      <w:r w:rsidR="000C66F7" w:rsidRPr="00DB6CEF">
        <w:rPr>
          <w:sz w:val="22"/>
          <w:szCs w:val="22"/>
        </w:rPr>
        <w:t>ВИПиК</w:t>
      </w:r>
      <w:proofErr w:type="spellEnd"/>
      <w:r w:rsidR="000C66F7" w:rsidRPr="00DB6CEF">
        <w:rPr>
          <w:sz w:val="22"/>
          <w:szCs w:val="22"/>
        </w:rPr>
        <w:t>».</w:t>
      </w:r>
    </w:p>
    <w:p w:rsidR="00F77E2E" w:rsidRPr="00DB6CEF" w:rsidRDefault="00F77E2E" w:rsidP="00F77E2E">
      <w:pPr>
        <w:autoSpaceDE w:val="0"/>
        <w:autoSpaceDN w:val="0"/>
        <w:adjustRightInd w:val="0"/>
        <w:ind w:firstLine="540"/>
        <w:jc w:val="both"/>
        <w:rPr>
          <w:sz w:val="22"/>
          <w:szCs w:val="22"/>
        </w:rPr>
      </w:pPr>
      <w:r>
        <w:rPr>
          <w:sz w:val="22"/>
          <w:szCs w:val="22"/>
        </w:rPr>
        <w:lastRenderedPageBreak/>
        <w:t xml:space="preserve">6. </w:t>
      </w:r>
      <w:r w:rsidR="007335DB" w:rsidRPr="00DB6CEF">
        <w:rPr>
          <w:sz w:val="22"/>
          <w:szCs w:val="22"/>
        </w:rPr>
        <w:t>В нарушение п. 7</w:t>
      </w:r>
      <w:r>
        <w:rPr>
          <w:sz w:val="22"/>
          <w:szCs w:val="22"/>
        </w:rPr>
        <w:t>, 8</w:t>
      </w:r>
      <w:r w:rsidR="007335DB" w:rsidRPr="00DB6CEF">
        <w:rPr>
          <w:sz w:val="22"/>
          <w:szCs w:val="22"/>
        </w:rPr>
        <w:t xml:space="preserve"> Требований</w:t>
      </w:r>
      <w:r>
        <w:rPr>
          <w:sz w:val="22"/>
          <w:szCs w:val="22"/>
        </w:rPr>
        <w:t>, в проекте</w:t>
      </w:r>
      <w:r w:rsidR="007335DB" w:rsidRPr="00DB6CEF">
        <w:rPr>
          <w:sz w:val="22"/>
          <w:szCs w:val="22"/>
        </w:rPr>
        <w:t xml:space="preserve"> отсутствует раздел «Направления развития централизованных систем водоснабжения» и </w:t>
      </w:r>
      <w:r w:rsidR="000C66F7" w:rsidRPr="00DB6CEF">
        <w:rPr>
          <w:sz w:val="22"/>
          <w:szCs w:val="22"/>
        </w:rPr>
        <w:t>наименование организации, наделен</w:t>
      </w:r>
      <w:r w:rsidR="007335DB" w:rsidRPr="00DB6CEF">
        <w:rPr>
          <w:sz w:val="22"/>
          <w:szCs w:val="22"/>
        </w:rPr>
        <w:t>ной</w:t>
      </w:r>
      <w:r w:rsidR="000C66F7" w:rsidRPr="00DB6CEF">
        <w:rPr>
          <w:sz w:val="22"/>
          <w:szCs w:val="22"/>
        </w:rPr>
        <w:t xml:space="preserve"> статусом гарантирующей.</w:t>
      </w:r>
      <w:r>
        <w:rPr>
          <w:sz w:val="22"/>
          <w:szCs w:val="22"/>
        </w:rPr>
        <w:t xml:space="preserve"> </w:t>
      </w:r>
      <w:r w:rsidRPr="00DB6CEF">
        <w:rPr>
          <w:sz w:val="22"/>
          <w:szCs w:val="22"/>
        </w:rPr>
        <w:t xml:space="preserve">Закон не </w:t>
      </w:r>
      <w:r w:rsidR="00C73D31">
        <w:rPr>
          <w:sz w:val="22"/>
          <w:szCs w:val="22"/>
        </w:rPr>
        <w:t xml:space="preserve">устанавливает обязанности указывать </w:t>
      </w:r>
      <w:proofErr w:type="gramStart"/>
      <w:r w:rsidR="00C73D31">
        <w:rPr>
          <w:sz w:val="22"/>
          <w:szCs w:val="22"/>
        </w:rPr>
        <w:t>признаки</w:t>
      </w:r>
      <w:proofErr w:type="gramEnd"/>
      <w:r w:rsidR="00C73D31">
        <w:rPr>
          <w:sz w:val="22"/>
          <w:szCs w:val="22"/>
        </w:rPr>
        <w:t xml:space="preserve"> позволяющие отнести кого либо к гарантирующей организации, закон требует указать кто ей является на момент подготовки(актуализации) схемы. </w:t>
      </w:r>
      <w:r w:rsidRPr="00DB6CEF">
        <w:rPr>
          <w:sz w:val="22"/>
          <w:szCs w:val="22"/>
        </w:rPr>
        <w:t xml:space="preserve">Указание в проекте на такие обстоятельства </w:t>
      </w:r>
      <w:proofErr w:type="gramStart"/>
      <w:r w:rsidRPr="00DB6CEF">
        <w:rPr>
          <w:sz w:val="22"/>
          <w:szCs w:val="22"/>
        </w:rPr>
        <w:t>недопустим</w:t>
      </w:r>
      <w:r w:rsidR="00C73D31">
        <w:rPr>
          <w:sz w:val="22"/>
          <w:szCs w:val="22"/>
        </w:rPr>
        <w:t>о(</w:t>
      </w:r>
      <w:proofErr w:type="gramEnd"/>
      <w:r w:rsidR="00C73D31">
        <w:rPr>
          <w:sz w:val="22"/>
          <w:szCs w:val="22"/>
        </w:rPr>
        <w:t xml:space="preserve">коррупционная составляющая). </w:t>
      </w:r>
    </w:p>
    <w:p w:rsidR="007335DB" w:rsidRPr="00DB6CEF" w:rsidRDefault="00F77E2E" w:rsidP="000C66F7">
      <w:pPr>
        <w:autoSpaceDE w:val="0"/>
        <w:autoSpaceDN w:val="0"/>
        <w:adjustRightInd w:val="0"/>
        <w:ind w:firstLine="540"/>
        <w:jc w:val="both"/>
        <w:rPr>
          <w:sz w:val="22"/>
          <w:szCs w:val="22"/>
        </w:rPr>
      </w:pPr>
      <w:r>
        <w:rPr>
          <w:sz w:val="22"/>
          <w:szCs w:val="22"/>
        </w:rPr>
        <w:t xml:space="preserve">7. </w:t>
      </w:r>
      <w:r w:rsidR="00BB2A7F" w:rsidRPr="00DB6CEF">
        <w:rPr>
          <w:sz w:val="22"/>
          <w:szCs w:val="22"/>
        </w:rPr>
        <w:t xml:space="preserve">В нарушение П. 8. Требований в </w:t>
      </w:r>
      <w:r>
        <w:rPr>
          <w:sz w:val="22"/>
          <w:szCs w:val="22"/>
        </w:rPr>
        <w:t xml:space="preserve">проекте </w:t>
      </w:r>
      <w:r w:rsidR="00BB2A7F" w:rsidRPr="00DB6CEF">
        <w:rPr>
          <w:sz w:val="22"/>
          <w:szCs w:val="22"/>
        </w:rPr>
        <w:t>раздел</w:t>
      </w:r>
      <w:r>
        <w:rPr>
          <w:sz w:val="22"/>
          <w:szCs w:val="22"/>
        </w:rPr>
        <w:t>а</w:t>
      </w:r>
      <w:r w:rsidR="00BB2A7F" w:rsidRPr="00DB6CEF">
        <w:rPr>
          <w:sz w:val="22"/>
          <w:szCs w:val="22"/>
        </w:rPr>
        <w:t xml:space="preserve"> «Баланс водоснабжения и потребления горячей, питьевой, технической </w:t>
      </w:r>
      <w:proofErr w:type="gramStart"/>
      <w:r w:rsidR="00BB2A7F" w:rsidRPr="00DB6CEF">
        <w:rPr>
          <w:sz w:val="22"/>
          <w:szCs w:val="22"/>
        </w:rPr>
        <w:t>воды»(</w:t>
      </w:r>
      <w:proofErr w:type="gramEnd"/>
      <w:r w:rsidR="00BB2A7F" w:rsidRPr="00DB6CEF">
        <w:rPr>
          <w:sz w:val="22"/>
          <w:szCs w:val="22"/>
        </w:rPr>
        <w:t xml:space="preserve">стр. 20 п.1.3.2. проекта) </w:t>
      </w:r>
      <w:r w:rsidR="003F18E9" w:rsidRPr="00DB6CEF">
        <w:rPr>
          <w:sz w:val="22"/>
          <w:szCs w:val="22"/>
        </w:rPr>
        <w:t>территориальный баланс не содержит указания территории (указания объектов), применительно к суточному потреблению. Так, в таб. 1.3.1. указаны территории, без указаний суточного водопотребления, а в таб. 1.3.2. территориальность отсутствует.</w:t>
      </w:r>
    </w:p>
    <w:p w:rsidR="0036589D" w:rsidRPr="00DB6CEF" w:rsidRDefault="00F77E2E" w:rsidP="0036589D">
      <w:pPr>
        <w:autoSpaceDE w:val="0"/>
        <w:autoSpaceDN w:val="0"/>
        <w:adjustRightInd w:val="0"/>
        <w:ind w:firstLine="540"/>
        <w:jc w:val="both"/>
        <w:rPr>
          <w:sz w:val="22"/>
          <w:szCs w:val="22"/>
        </w:rPr>
      </w:pPr>
      <w:r>
        <w:rPr>
          <w:sz w:val="22"/>
          <w:szCs w:val="22"/>
        </w:rPr>
        <w:t xml:space="preserve">8. </w:t>
      </w:r>
      <w:r w:rsidR="0036589D" w:rsidRPr="00DB6CEF">
        <w:rPr>
          <w:sz w:val="22"/>
          <w:szCs w:val="22"/>
        </w:rPr>
        <w:t xml:space="preserve">В нарушение п. 8 Требований </w:t>
      </w:r>
      <w:r>
        <w:rPr>
          <w:sz w:val="22"/>
          <w:szCs w:val="22"/>
        </w:rPr>
        <w:t xml:space="preserve">проект </w:t>
      </w:r>
      <w:r w:rsidR="0036589D" w:rsidRPr="00DB6CEF">
        <w:rPr>
          <w:sz w:val="22"/>
          <w:szCs w:val="22"/>
        </w:rPr>
        <w:t xml:space="preserve">в разделе «Баланс водоснабжения и потребления горячей, питьевой, технической </w:t>
      </w:r>
      <w:proofErr w:type="gramStart"/>
      <w:r w:rsidR="0036589D" w:rsidRPr="00DB6CEF">
        <w:rPr>
          <w:sz w:val="22"/>
          <w:szCs w:val="22"/>
        </w:rPr>
        <w:t>воды»(</w:t>
      </w:r>
      <w:proofErr w:type="gramEnd"/>
      <w:r w:rsidR="0036589D" w:rsidRPr="00DB6CEF">
        <w:rPr>
          <w:sz w:val="22"/>
          <w:szCs w:val="22"/>
        </w:rPr>
        <w:t>стр. 21 п.1.3.3. проекта), структурный баланс реализации горячей, питьевой, технической воды по группам абонентов, не содержит разбивки по: хозяйственно-питьевым нужды по горячей и холодной воде; населению, производственным нуждам юр. лиц и других нужд города (пожаротушение, полив и др.).</w:t>
      </w:r>
    </w:p>
    <w:p w:rsidR="00402A89" w:rsidRPr="00DB6CEF" w:rsidRDefault="00F77E2E" w:rsidP="00402A89">
      <w:pPr>
        <w:autoSpaceDE w:val="0"/>
        <w:autoSpaceDN w:val="0"/>
        <w:adjustRightInd w:val="0"/>
        <w:ind w:firstLine="540"/>
        <w:jc w:val="both"/>
        <w:rPr>
          <w:sz w:val="22"/>
          <w:szCs w:val="22"/>
        </w:rPr>
      </w:pPr>
      <w:r>
        <w:rPr>
          <w:sz w:val="22"/>
          <w:szCs w:val="22"/>
        </w:rPr>
        <w:t xml:space="preserve">9. </w:t>
      </w:r>
      <w:r w:rsidR="00402A89" w:rsidRPr="00DB6CEF">
        <w:rPr>
          <w:sz w:val="22"/>
          <w:szCs w:val="22"/>
        </w:rPr>
        <w:t xml:space="preserve">В нарушение п. 8 Требований </w:t>
      </w:r>
      <w:r>
        <w:rPr>
          <w:sz w:val="22"/>
          <w:szCs w:val="22"/>
        </w:rPr>
        <w:t>проекте</w:t>
      </w:r>
      <w:r w:rsidR="00402A89" w:rsidRPr="00DB6CEF">
        <w:rPr>
          <w:sz w:val="22"/>
          <w:szCs w:val="22"/>
        </w:rPr>
        <w:t xml:space="preserve"> раздел</w:t>
      </w:r>
      <w:r>
        <w:rPr>
          <w:sz w:val="22"/>
          <w:szCs w:val="22"/>
        </w:rPr>
        <w:t>а</w:t>
      </w:r>
      <w:r w:rsidR="00402A89" w:rsidRPr="00DB6CEF">
        <w:rPr>
          <w:sz w:val="22"/>
          <w:szCs w:val="22"/>
        </w:rPr>
        <w:t xml:space="preserve"> «Баланс водоснабжения и потребления горячей, питьевой, технической </w:t>
      </w:r>
      <w:proofErr w:type="gramStart"/>
      <w:r w:rsidR="00402A89" w:rsidRPr="00DB6CEF">
        <w:rPr>
          <w:sz w:val="22"/>
          <w:szCs w:val="22"/>
        </w:rPr>
        <w:t>воды»(</w:t>
      </w:r>
      <w:proofErr w:type="gramEnd"/>
      <w:r w:rsidR="00402A89" w:rsidRPr="00DB6CEF">
        <w:rPr>
          <w:sz w:val="22"/>
          <w:szCs w:val="22"/>
        </w:rPr>
        <w:t xml:space="preserve">стр. 23, 24 п.1.3.7. проекта), прогнозные планы выполнены сроком не на 10 лет, а на 9 один из которых </w:t>
      </w:r>
      <w:r w:rsidR="007F0258" w:rsidRPr="00DB6CEF">
        <w:rPr>
          <w:sz w:val="22"/>
          <w:szCs w:val="22"/>
        </w:rPr>
        <w:t xml:space="preserve">один </w:t>
      </w:r>
      <w:r w:rsidR="00402A89" w:rsidRPr="00DB6CEF">
        <w:rPr>
          <w:sz w:val="22"/>
          <w:szCs w:val="22"/>
        </w:rPr>
        <w:t>уже прошел.</w:t>
      </w:r>
      <w:r w:rsidR="00A33E86" w:rsidRPr="00DB6CEF">
        <w:rPr>
          <w:sz w:val="22"/>
          <w:szCs w:val="22"/>
        </w:rPr>
        <w:t xml:space="preserve"> </w:t>
      </w:r>
    </w:p>
    <w:p w:rsidR="007F0258" w:rsidRPr="00DB6CEF" w:rsidRDefault="00F77E2E" w:rsidP="007F0258">
      <w:pPr>
        <w:autoSpaceDE w:val="0"/>
        <w:autoSpaceDN w:val="0"/>
        <w:adjustRightInd w:val="0"/>
        <w:ind w:firstLine="540"/>
        <w:jc w:val="both"/>
        <w:rPr>
          <w:sz w:val="22"/>
          <w:szCs w:val="22"/>
        </w:rPr>
      </w:pPr>
      <w:r>
        <w:rPr>
          <w:sz w:val="22"/>
          <w:szCs w:val="22"/>
        </w:rPr>
        <w:t xml:space="preserve">10. </w:t>
      </w:r>
      <w:r w:rsidR="007F0258" w:rsidRPr="00DB6CEF">
        <w:rPr>
          <w:sz w:val="22"/>
          <w:szCs w:val="22"/>
        </w:rPr>
        <w:t xml:space="preserve">В нарушение п. 8 Требований в разделе «Баланс водоснабжения и потребления горячей, питьевой, технической </w:t>
      </w:r>
      <w:proofErr w:type="gramStart"/>
      <w:r w:rsidR="007F0258" w:rsidRPr="00DB6CEF">
        <w:rPr>
          <w:sz w:val="22"/>
          <w:szCs w:val="22"/>
        </w:rPr>
        <w:t>воды»(</w:t>
      </w:r>
      <w:proofErr w:type="gramEnd"/>
      <w:r w:rsidR="007F0258" w:rsidRPr="00DB6CEF">
        <w:rPr>
          <w:sz w:val="22"/>
          <w:szCs w:val="22"/>
        </w:rPr>
        <w:t xml:space="preserve">стр. 27, 28 таб. 1.3.10, п.1.3.14 проекта) проект содержит не расчет, а показатель, что не позволяет проверить его достоверность. Не указаны объекты </w:t>
      </w:r>
      <w:r w:rsidR="00B1787A" w:rsidRPr="00DB6CEF">
        <w:rPr>
          <w:sz w:val="22"/>
          <w:szCs w:val="22"/>
        </w:rPr>
        <w:t>-</w:t>
      </w:r>
      <w:r w:rsidR="007F0258" w:rsidRPr="00DB6CEF">
        <w:rPr>
          <w:sz w:val="22"/>
          <w:szCs w:val="22"/>
        </w:rPr>
        <w:t xml:space="preserve"> водозаборны</w:t>
      </w:r>
      <w:r w:rsidR="00B1787A" w:rsidRPr="00DB6CEF">
        <w:rPr>
          <w:sz w:val="22"/>
          <w:szCs w:val="22"/>
        </w:rPr>
        <w:t>е</w:t>
      </w:r>
      <w:r w:rsidR="007F0258" w:rsidRPr="00DB6CEF">
        <w:rPr>
          <w:sz w:val="22"/>
          <w:szCs w:val="22"/>
        </w:rPr>
        <w:t xml:space="preserve"> и очистны</w:t>
      </w:r>
      <w:r w:rsidR="00B1787A" w:rsidRPr="00DB6CEF">
        <w:rPr>
          <w:sz w:val="22"/>
          <w:szCs w:val="22"/>
        </w:rPr>
        <w:t>е</w:t>
      </w:r>
      <w:r w:rsidR="007F0258" w:rsidRPr="00DB6CEF">
        <w:rPr>
          <w:sz w:val="22"/>
          <w:szCs w:val="22"/>
        </w:rPr>
        <w:t xml:space="preserve"> сооружени</w:t>
      </w:r>
      <w:r w:rsidR="00B1787A" w:rsidRPr="00DB6CEF">
        <w:rPr>
          <w:sz w:val="22"/>
          <w:szCs w:val="22"/>
        </w:rPr>
        <w:t>я</w:t>
      </w:r>
      <w:r w:rsidR="007F0258" w:rsidRPr="00DB6CEF">
        <w:rPr>
          <w:sz w:val="22"/>
          <w:szCs w:val="22"/>
        </w:rPr>
        <w:t xml:space="preserve"> </w:t>
      </w:r>
      <w:r w:rsidR="00B1787A" w:rsidRPr="00DB6CEF">
        <w:rPr>
          <w:sz w:val="22"/>
          <w:szCs w:val="22"/>
        </w:rPr>
        <w:t xml:space="preserve">организаций осуществляющих регулируемую деятельность. </w:t>
      </w:r>
    </w:p>
    <w:p w:rsidR="00B1787A" w:rsidRPr="00DB6CEF" w:rsidRDefault="00F77E2E" w:rsidP="007F0258">
      <w:pPr>
        <w:autoSpaceDE w:val="0"/>
        <w:autoSpaceDN w:val="0"/>
        <w:adjustRightInd w:val="0"/>
        <w:ind w:firstLine="540"/>
        <w:jc w:val="both"/>
        <w:rPr>
          <w:sz w:val="22"/>
          <w:szCs w:val="22"/>
        </w:rPr>
      </w:pPr>
      <w:r>
        <w:rPr>
          <w:sz w:val="22"/>
          <w:szCs w:val="22"/>
        </w:rPr>
        <w:t xml:space="preserve">11. </w:t>
      </w:r>
      <w:r w:rsidR="00E33BA6" w:rsidRPr="00DB6CEF">
        <w:rPr>
          <w:sz w:val="22"/>
          <w:szCs w:val="22"/>
        </w:rPr>
        <w:t xml:space="preserve">В нарушение п. 9 Требований, проект не содержит </w:t>
      </w:r>
      <w:r w:rsidR="000746CE" w:rsidRPr="00DB6CEF">
        <w:rPr>
          <w:sz w:val="22"/>
          <w:szCs w:val="22"/>
        </w:rPr>
        <w:t xml:space="preserve">наименований объектов, подлежащих реконструкции. Объекты указанные в таблицах </w:t>
      </w:r>
      <w:proofErr w:type="gramStart"/>
      <w:r w:rsidR="000746CE" w:rsidRPr="00DB6CEF">
        <w:rPr>
          <w:sz w:val="22"/>
          <w:szCs w:val="22"/>
        </w:rPr>
        <w:t>1.4.1.,</w:t>
      </w:r>
      <w:proofErr w:type="gramEnd"/>
      <w:r w:rsidR="000746CE" w:rsidRPr="00DB6CEF">
        <w:rPr>
          <w:sz w:val="22"/>
          <w:szCs w:val="22"/>
        </w:rPr>
        <w:t xml:space="preserve"> 1.4.2., не соответствуют данным государственного кадастрового учета и распоряжения КУМИ КГО №542-р и не позволяют осуществить их идентификацию</w:t>
      </w:r>
    </w:p>
    <w:p w:rsidR="007D2599" w:rsidRPr="00DB6CEF" w:rsidRDefault="00E33BA6" w:rsidP="007D2599">
      <w:pPr>
        <w:autoSpaceDE w:val="0"/>
        <w:autoSpaceDN w:val="0"/>
        <w:adjustRightInd w:val="0"/>
        <w:ind w:firstLine="540"/>
        <w:jc w:val="both"/>
        <w:rPr>
          <w:sz w:val="22"/>
          <w:szCs w:val="22"/>
        </w:rPr>
      </w:pPr>
      <w:proofErr w:type="gramStart"/>
      <w:r w:rsidRPr="00DB6CEF">
        <w:rPr>
          <w:sz w:val="22"/>
          <w:szCs w:val="22"/>
        </w:rPr>
        <w:t>П.1.1.,</w:t>
      </w:r>
      <w:proofErr w:type="gramEnd"/>
      <w:r w:rsidRPr="00DB6CEF">
        <w:rPr>
          <w:sz w:val="22"/>
          <w:szCs w:val="22"/>
        </w:rPr>
        <w:t xml:space="preserve"> 1.2.</w:t>
      </w:r>
      <w:r w:rsidR="007D2599" w:rsidRPr="00DB6CEF">
        <w:rPr>
          <w:sz w:val="22"/>
          <w:szCs w:val="22"/>
        </w:rPr>
        <w:t xml:space="preserve"> </w:t>
      </w:r>
      <w:r w:rsidRPr="00DB6CEF">
        <w:rPr>
          <w:sz w:val="22"/>
          <w:szCs w:val="22"/>
        </w:rPr>
        <w:t xml:space="preserve">(стр. </w:t>
      </w:r>
      <w:r w:rsidR="007D2599" w:rsidRPr="00DB6CEF">
        <w:rPr>
          <w:sz w:val="22"/>
          <w:szCs w:val="22"/>
        </w:rPr>
        <w:t>31</w:t>
      </w:r>
      <w:r w:rsidR="00AA503A" w:rsidRPr="00DB6CEF">
        <w:rPr>
          <w:sz w:val="22"/>
          <w:szCs w:val="22"/>
        </w:rPr>
        <w:t xml:space="preserve">, </w:t>
      </w:r>
      <w:r w:rsidR="007D2599" w:rsidRPr="00DB6CEF">
        <w:rPr>
          <w:sz w:val="22"/>
          <w:szCs w:val="22"/>
        </w:rPr>
        <w:t>таб. 1.4.1. проекта) установлены мероприятия по реконструкции объектов НФС и водозабора Кара-</w:t>
      </w:r>
      <w:proofErr w:type="spellStart"/>
      <w:r w:rsidR="007D2599" w:rsidRPr="00DB6CEF">
        <w:rPr>
          <w:sz w:val="22"/>
          <w:szCs w:val="22"/>
        </w:rPr>
        <w:t>Чумышского</w:t>
      </w:r>
      <w:proofErr w:type="spellEnd"/>
      <w:r w:rsidR="007D2599" w:rsidRPr="00DB6CEF">
        <w:rPr>
          <w:sz w:val="22"/>
          <w:szCs w:val="22"/>
        </w:rPr>
        <w:t xml:space="preserve"> водохранилища, которые не являются линейными объектами. Согласно ст. 1 </w:t>
      </w:r>
      <w:proofErr w:type="spellStart"/>
      <w:r w:rsidR="007D2599" w:rsidRPr="00DB6CEF">
        <w:rPr>
          <w:sz w:val="22"/>
          <w:szCs w:val="22"/>
        </w:rPr>
        <w:t>ГрК</w:t>
      </w:r>
      <w:proofErr w:type="spellEnd"/>
      <w:r w:rsidR="007D2599" w:rsidRPr="00DB6CEF">
        <w:rPr>
          <w:sz w:val="22"/>
          <w:szCs w:val="22"/>
        </w:rPr>
        <w:t xml:space="preserve"> РФ, реконструкция объектов капитального строительства - изменение параметров объекта капитального строительства. Между тем, п</w:t>
      </w:r>
      <w:r w:rsidR="000D1AEB" w:rsidRPr="00DB6CEF">
        <w:rPr>
          <w:sz w:val="22"/>
          <w:szCs w:val="22"/>
        </w:rPr>
        <w:t>а</w:t>
      </w:r>
      <w:r w:rsidR="007D2599" w:rsidRPr="00DB6CEF">
        <w:rPr>
          <w:sz w:val="22"/>
          <w:szCs w:val="22"/>
        </w:rPr>
        <w:t>раметры</w:t>
      </w:r>
      <w:r w:rsidR="00251E64" w:rsidRPr="00DB6CEF">
        <w:rPr>
          <w:sz w:val="22"/>
          <w:szCs w:val="22"/>
        </w:rPr>
        <w:t>,</w:t>
      </w:r>
      <w:r w:rsidR="007D2599" w:rsidRPr="00DB6CEF">
        <w:rPr>
          <w:sz w:val="22"/>
          <w:szCs w:val="22"/>
        </w:rPr>
        <w:t xml:space="preserve"> </w:t>
      </w:r>
      <w:r w:rsidR="00251E64" w:rsidRPr="00DB6CEF">
        <w:rPr>
          <w:sz w:val="22"/>
          <w:szCs w:val="22"/>
        </w:rPr>
        <w:t>указанные в таблице</w:t>
      </w:r>
      <w:r w:rsidR="00371CE4" w:rsidRPr="00DB6CEF">
        <w:rPr>
          <w:sz w:val="22"/>
          <w:szCs w:val="22"/>
        </w:rPr>
        <w:t>,</w:t>
      </w:r>
      <w:r w:rsidR="00251E64" w:rsidRPr="00DB6CEF">
        <w:rPr>
          <w:sz w:val="22"/>
          <w:szCs w:val="22"/>
        </w:rPr>
        <w:t xml:space="preserve"> не содержат сведений о прогнозируемом изменении параметров</w:t>
      </w:r>
      <w:r w:rsidR="00371CE4" w:rsidRPr="00DB6CEF">
        <w:rPr>
          <w:sz w:val="22"/>
          <w:szCs w:val="22"/>
        </w:rPr>
        <w:t>, что свидетельствует о необоснованности указани</w:t>
      </w:r>
      <w:r w:rsidR="00C73D31">
        <w:rPr>
          <w:sz w:val="22"/>
          <w:szCs w:val="22"/>
        </w:rPr>
        <w:t>й</w:t>
      </w:r>
      <w:r w:rsidR="00371CE4" w:rsidRPr="00DB6CEF">
        <w:rPr>
          <w:sz w:val="22"/>
          <w:szCs w:val="22"/>
        </w:rPr>
        <w:t xml:space="preserve"> о необходимости реконструкции</w:t>
      </w:r>
      <w:r w:rsidR="00251E64" w:rsidRPr="00DB6CEF">
        <w:rPr>
          <w:sz w:val="22"/>
          <w:szCs w:val="22"/>
        </w:rPr>
        <w:t>.</w:t>
      </w:r>
      <w:r w:rsidR="000746CE" w:rsidRPr="00DB6CEF">
        <w:rPr>
          <w:sz w:val="22"/>
          <w:szCs w:val="22"/>
        </w:rPr>
        <w:t xml:space="preserve"> Отсутствие идентификации объектов приведет к правовым сложностям при проектировании (планировании) реконструкции объектов, а также при приемке выполненных работ. Кроме того, данные мероприятия одновременно включаются в сведения об инвестиционных и производственных программах организаций и как следствие напрямую влияют на установление тарифа. Искажение реальных данных делает невозможн</w:t>
      </w:r>
      <w:r w:rsidR="00C73D31">
        <w:rPr>
          <w:sz w:val="22"/>
          <w:szCs w:val="22"/>
        </w:rPr>
        <w:t>ыми достижение целей</w:t>
      </w:r>
      <w:r w:rsidR="000746CE" w:rsidRPr="00DB6CEF">
        <w:rPr>
          <w:sz w:val="22"/>
          <w:szCs w:val="22"/>
        </w:rPr>
        <w:t xml:space="preserve"> императивно установленных п. 10 Требований и является неправомерным действием с непредсказуемыми последствиями в виде ЧС в КГО.</w:t>
      </w:r>
    </w:p>
    <w:p w:rsidR="00AA503A" w:rsidRPr="00DB6CEF" w:rsidRDefault="00AA503A" w:rsidP="007D2599">
      <w:pPr>
        <w:autoSpaceDE w:val="0"/>
        <w:autoSpaceDN w:val="0"/>
        <w:adjustRightInd w:val="0"/>
        <w:ind w:firstLine="540"/>
        <w:jc w:val="both"/>
        <w:rPr>
          <w:sz w:val="22"/>
          <w:szCs w:val="22"/>
        </w:rPr>
      </w:pPr>
      <w:r w:rsidRPr="00DB6CEF">
        <w:rPr>
          <w:sz w:val="22"/>
          <w:szCs w:val="22"/>
        </w:rPr>
        <w:t xml:space="preserve">Эти же основания подтверждают недостоверность информации изложенной в </w:t>
      </w:r>
      <w:proofErr w:type="gramStart"/>
      <w:r w:rsidRPr="00DB6CEF">
        <w:rPr>
          <w:sz w:val="22"/>
          <w:szCs w:val="22"/>
        </w:rPr>
        <w:t>п.1.6.2.,</w:t>
      </w:r>
      <w:proofErr w:type="gramEnd"/>
      <w:r w:rsidRPr="00DB6CEF">
        <w:rPr>
          <w:sz w:val="22"/>
          <w:szCs w:val="22"/>
        </w:rPr>
        <w:t xml:space="preserve"> таб. 1.6.2., 1.6.3. проекта.</w:t>
      </w:r>
    </w:p>
    <w:p w:rsidR="001A6F44" w:rsidRPr="00DB6CEF" w:rsidRDefault="00C73D31" w:rsidP="001A6F44">
      <w:pPr>
        <w:autoSpaceDE w:val="0"/>
        <w:autoSpaceDN w:val="0"/>
        <w:adjustRightInd w:val="0"/>
        <w:ind w:firstLine="540"/>
        <w:jc w:val="both"/>
        <w:rPr>
          <w:sz w:val="22"/>
          <w:szCs w:val="22"/>
        </w:rPr>
      </w:pPr>
      <w:r>
        <w:rPr>
          <w:sz w:val="22"/>
          <w:szCs w:val="22"/>
        </w:rPr>
        <w:t>12</w:t>
      </w:r>
      <w:r w:rsidR="001A6F44" w:rsidRPr="00DB6CEF">
        <w:rPr>
          <w:sz w:val="22"/>
          <w:szCs w:val="22"/>
        </w:rPr>
        <w:t>. П.1.6.1.</w:t>
      </w:r>
      <w:r>
        <w:rPr>
          <w:sz w:val="22"/>
          <w:szCs w:val="22"/>
        </w:rPr>
        <w:t xml:space="preserve"> </w:t>
      </w:r>
      <w:r w:rsidR="001A6F44" w:rsidRPr="00DB6CEF">
        <w:rPr>
          <w:sz w:val="22"/>
          <w:szCs w:val="22"/>
        </w:rPr>
        <w:t>Проекта (стр. 44) установлены основания оценки объемов капитальных вложений (стоимости), среди них приказы Минстроя РФ от 12.03.2021 № 140/</w:t>
      </w:r>
      <w:proofErr w:type="spellStart"/>
      <w:r w:rsidR="001A6F44" w:rsidRPr="00DB6CEF">
        <w:rPr>
          <w:sz w:val="22"/>
          <w:szCs w:val="22"/>
        </w:rPr>
        <w:t>пр</w:t>
      </w:r>
      <w:proofErr w:type="spellEnd"/>
      <w:r w:rsidR="001A6F44" w:rsidRPr="00DB6CEF">
        <w:rPr>
          <w:sz w:val="22"/>
          <w:szCs w:val="22"/>
        </w:rPr>
        <w:t xml:space="preserve">, от 11.03.2021 № 123/пр. </w:t>
      </w:r>
      <w:r>
        <w:rPr>
          <w:sz w:val="22"/>
          <w:szCs w:val="22"/>
        </w:rPr>
        <w:t>П</w:t>
      </w:r>
      <w:r w:rsidR="001A6F44" w:rsidRPr="00DB6CEF">
        <w:rPr>
          <w:sz w:val="22"/>
          <w:szCs w:val="22"/>
        </w:rPr>
        <w:t>риказ</w:t>
      </w:r>
      <w:r>
        <w:rPr>
          <w:sz w:val="22"/>
          <w:szCs w:val="22"/>
        </w:rPr>
        <w:t>ами</w:t>
      </w:r>
      <w:r w:rsidR="001A6F44" w:rsidRPr="00DB6CEF">
        <w:rPr>
          <w:sz w:val="22"/>
          <w:szCs w:val="22"/>
        </w:rPr>
        <w:t xml:space="preserve"> Минстроя РФ от 28.03.2022 №203/</w:t>
      </w:r>
      <w:proofErr w:type="spellStart"/>
      <w:r w:rsidR="001A6F44" w:rsidRPr="00DB6CEF">
        <w:rPr>
          <w:sz w:val="22"/>
          <w:szCs w:val="22"/>
        </w:rPr>
        <w:t>пр</w:t>
      </w:r>
      <w:proofErr w:type="spellEnd"/>
      <w:r w:rsidR="001A6F44" w:rsidRPr="00DB6CEF">
        <w:rPr>
          <w:sz w:val="22"/>
          <w:szCs w:val="22"/>
        </w:rPr>
        <w:t>, от 29.03.2022 № 217/</w:t>
      </w:r>
      <w:proofErr w:type="spellStart"/>
      <w:r w:rsidR="001A6F44" w:rsidRPr="00DB6CEF">
        <w:rPr>
          <w:sz w:val="22"/>
          <w:szCs w:val="22"/>
        </w:rPr>
        <w:t>пр</w:t>
      </w:r>
      <w:proofErr w:type="spellEnd"/>
      <w:r>
        <w:rPr>
          <w:sz w:val="22"/>
          <w:szCs w:val="22"/>
        </w:rPr>
        <w:t>,</w:t>
      </w:r>
      <w:r w:rsidR="001A6F44" w:rsidRPr="00DB6CEF">
        <w:rPr>
          <w:sz w:val="22"/>
          <w:szCs w:val="22"/>
        </w:rPr>
        <w:t xml:space="preserve"> вышеназванные </w:t>
      </w:r>
      <w:r>
        <w:rPr>
          <w:sz w:val="22"/>
          <w:szCs w:val="22"/>
        </w:rPr>
        <w:t>акты</w:t>
      </w:r>
      <w:r w:rsidR="001A6F44" w:rsidRPr="00DB6CEF">
        <w:rPr>
          <w:sz w:val="22"/>
          <w:szCs w:val="22"/>
        </w:rPr>
        <w:t xml:space="preserve"> отменены, что делает недостоверными все сведения изложенные в таб. </w:t>
      </w:r>
      <w:proofErr w:type="gramStart"/>
      <w:r w:rsidR="001A6F44" w:rsidRPr="00DB6CEF">
        <w:rPr>
          <w:sz w:val="22"/>
          <w:szCs w:val="22"/>
        </w:rPr>
        <w:t>1.4.1.,</w:t>
      </w:r>
      <w:proofErr w:type="gramEnd"/>
      <w:r w:rsidR="001A6F44" w:rsidRPr="00DB6CEF">
        <w:rPr>
          <w:sz w:val="22"/>
          <w:szCs w:val="22"/>
        </w:rPr>
        <w:t xml:space="preserve"> 1.4.2., 1.6.1. проекта.</w:t>
      </w:r>
    </w:p>
    <w:p w:rsidR="001A6F44" w:rsidRPr="00DB6CEF" w:rsidRDefault="001A6F44" w:rsidP="001A6F44">
      <w:pPr>
        <w:autoSpaceDE w:val="0"/>
        <w:autoSpaceDN w:val="0"/>
        <w:adjustRightInd w:val="0"/>
        <w:jc w:val="both"/>
        <w:outlineLvl w:val="0"/>
        <w:rPr>
          <w:bCs/>
          <w:sz w:val="22"/>
          <w:szCs w:val="22"/>
        </w:rPr>
      </w:pPr>
      <w:r w:rsidRPr="00DB6CEF">
        <w:rPr>
          <w:sz w:val="22"/>
          <w:szCs w:val="22"/>
        </w:rPr>
        <w:t xml:space="preserve">         Необходимо отметить, что действующие документы, </w:t>
      </w:r>
      <w:proofErr w:type="gramStart"/>
      <w:r w:rsidRPr="00DB6CEF">
        <w:rPr>
          <w:sz w:val="22"/>
          <w:szCs w:val="22"/>
        </w:rPr>
        <w:t>например</w:t>
      </w:r>
      <w:proofErr w:type="gramEnd"/>
      <w:r w:rsidRPr="00DB6CEF">
        <w:rPr>
          <w:sz w:val="22"/>
          <w:szCs w:val="22"/>
        </w:rPr>
        <w:t xml:space="preserve"> НЦС 81-02-19-2023 содержат точное наименование объектов, например - </w:t>
      </w:r>
      <w:r w:rsidRPr="00DB6CEF">
        <w:rPr>
          <w:bCs/>
          <w:sz w:val="22"/>
          <w:szCs w:val="22"/>
        </w:rPr>
        <w:t xml:space="preserve">Насосные станции первого подъема, здания </w:t>
      </w:r>
      <w:proofErr w:type="spellStart"/>
      <w:r w:rsidRPr="00DB6CEF">
        <w:rPr>
          <w:bCs/>
          <w:sz w:val="22"/>
          <w:szCs w:val="22"/>
        </w:rPr>
        <w:t>хлораторных</w:t>
      </w:r>
      <w:proofErr w:type="spellEnd"/>
      <w:r w:rsidRPr="00DB6CEF">
        <w:rPr>
          <w:bCs/>
          <w:sz w:val="22"/>
          <w:szCs w:val="22"/>
        </w:rPr>
        <w:t xml:space="preserve">, фильтры – </w:t>
      </w:r>
      <w:proofErr w:type="spellStart"/>
      <w:r w:rsidRPr="00DB6CEF">
        <w:rPr>
          <w:bCs/>
          <w:sz w:val="22"/>
          <w:szCs w:val="22"/>
        </w:rPr>
        <w:t>поглатители</w:t>
      </w:r>
      <w:proofErr w:type="spellEnd"/>
      <w:r w:rsidRPr="00DB6CEF">
        <w:rPr>
          <w:bCs/>
          <w:sz w:val="22"/>
          <w:szCs w:val="22"/>
        </w:rPr>
        <w:t xml:space="preserve"> </w:t>
      </w:r>
      <w:proofErr w:type="spellStart"/>
      <w:r w:rsidRPr="00DB6CEF">
        <w:rPr>
          <w:bCs/>
          <w:sz w:val="22"/>
          <w:szCs w:val="22"/>
        </w:rPr>
        <w:t>и.т.д</w:t>
      </w:r>
      <w:proofErr w:type="spellEnd"/>
      <w:r w:rsidRPr="00DB6CEF">
        <w:rPr>
          <w:bCs/>
          <w:sz w:val="22"/>
          <w:szCs w:val="22"/>
        </w:rPr>
        <w:t xml:space="preserve">. Проект не содержит наименований объектов, </w:t>
      </w:r>
      <w:r w:rsidR="00371CE4" w:rsidRPr="00DB6CEF">
        <w:rPr>
          <w:bCs/>
          <w:sz w:val="22"/>
          <w:szCs w:val="22"/>
        </w:rPr>
        <w:t xml:space="preserve">присвоенных кадастровых номерах, </w:t>
      </w:r>
      <w:r w:rsidRPr="00DB6CEF">
        <w:rPr>
          <w:bCs/>
          <w:sz w:val="22"/>
          <w:szCs w:val="22"/>
        </w:rPr>
        <w:t xml:space="preserve">установленных в соответствии с государственным учетом и </w:t>
      </w:r>
      <w:r w:rsidR="00371CE4" w:rsidRPr="00DB6CEF">
        <w:rPr>
          <w:bCs/>
          <w:sz w:val="22"/>
          <w:szCs w:val="22"/>
        </w:rPr>
        <w:t>Распоряжения КУМИ КГО №542-Р от 01.08.2023г.</w:t>
      </w:r>
    </w:p>
    <w:p w:rsidR="00A30129" w:rsidRPr="00DB6CEF" w:rsidRDefault="00A30129" w:rsidP="00A30129">
      <w:pPr>
        <w:autoSpaceDE w:val="0"/>
        <w:autoSpaceDN w:val="0"/>
        <w:adjustRightInd w:val="0"/>
        <w:jc w:val="both"/>
        <w:rPr>
          <w:sz w:val="22"/>
          <w:szCs w:val="22"/>
        </w:rPr>
      </w:pPr>
      <w:r w:rsidRPr="00DB6CEF">
        <w:rPr>
          <w:sz w:val="22"/>
          <w:szCs w:val="22"/>
        </w:rPr>
        <w:tab/>
      </w:r>
      <w:r w:rsidR="00C73D31">
        <w:rPr>
          <w:sz w:val="22"/>
          <w:szCs w:val="22"/>
        </w:rPr>
        <w:t>13.</w:t>
      </w:r>
      <w:r w:rsidRPr="00DB6CEF">
        <w:rPr>
          <w:sz w:val="22"/>
          <w:szCs w:val="22"/>
        </w:rPr>
        <w:t xml:space="preserve"> В нарушение 11. Требований Раздел 5 «Экологические аспекты мероприятий по строительству, реконструкции и модернизации объектов </w:t>
      </w:r>
      <w:proofErr w:type="gramStart"/>
      <w:r w:rsidRPr="00DB6CEF">
        <w:rPr>
          <w:sz w:val="22"/>
          <w:szCs w:val="22"/>
        </w:rPr>
        <w:t>ЦС»(</w:t>
      </w:r>
      <w:proofErr w:type="gramEnd"/>
      <w:r w:rsidRPr="00DB6CEF">
        <w:rPr>
          <w:sz w:val="22"/>
          <w:szCs w:val="22"/>
        </w:rPr>
        <w:t>стр. 43) проекта не содержит сведений о мерах по предотвращению вредного воздействия хранения гипохлорита по адресу г. Киселевск ул. Добровольная, 30 А, равно как и самого этого объекта. Отсутствие перечня объект</w:t>
      </w:r>
      <w:r w:rsidR="00AA503A" w:rsidRPr="00DB6CEF">
        <w:rPr>
          <w:sz w:val="22"/>
          <w:szCs w:val="22"/>
        </w:rPr>
        <w:t>ов</w:t>
      </w:r>
      <w:r w:rsidRPr="00DB6CEF">
        <w:rPr>
          <w:sz w:val="22"/>
          <w:szCs w:val="22"/>
        </w:rPr>
        <w:t xml:space="preserve"> приводит к невозможности определения бассейна предлагаемых к строительству и реконструкции объектов.</w:t>
      </w:r>
    </w:p>
    <w:p w:rsidR="00AA503A" w:rsidRPr="00DB6CEF" w:rsidRDefault="00AA503A" w:rsidP="00A30129">
      <w:pPr>
        <w:autoSpaceDE w:val="0"/>
        <w:autoSpaceDN w:val="0"/>
        <w:adjustRightInd w:val="0"/>
        <w:jc w:val="both"/>
        <w:rPr>
          <w:sz w:val="22"/>
          <w:szCs w:val="22"/>
        </w:rPr>
      </w:pPr>
      <w:r w:rsidRPr="00DB6CEF">
        <w:rPr>
          <w:sz w:val="22"/>
          <w:szCs w:val="22"/>
        </w:rPr>
        <w:tab/>
      </w:r>
      <w:r w:rsidR="00C73D31">
        <w:rPr>
          <w:sz w:val="22"/>
          <w:szCs w:val="22"/>
        </w:rPr>
        <w:t>14</w:t>
      </w:r>
      <w:r w:rsidRPr="00DB6CEF">
        <w:rPr>
          <w:sz w:val="22"/>
          <w:szCs w:val="22"/>
        </w:rPr>
        <w:t xml:space="preserve">. В нарушение п.13 Требований проект содержит </w:t>
      </w:r>
      <w:proofErr w:type="gramStart"/>
      <w:r w:rsidR="0043026D" w:rsidRPr="00DB6CEF">
        <w:rPr>
          <w:sz w:val="22"/>
          <w:szCs w:val="22"/>
        </w:rPr>
        <w:t>сведения</w:t>
      </w:r>
      <w:proofErr w:type="gramEnd"/>
      <w:r w:rsidR="0043026D" w:rsidRPr="00DB6CEF">
        <w:rPr>
          <w:sz w:val="22"/>
          <w:szCs w:val="22"/>
        </w:rPr>
        <w:t xml:space="preserve"> вводящие в заблуждение. Так согла</w:t>
      </w:r>
      <w:r w:rsidR="00D34B5A" w:rsidRPr="00DB6CEF">
        <w:rPr>
          <w:sz w:val="22"/>
          <w:szCs w:val="22"/>
        </w:rPr>
        <w:t>с</w:t>
      </w:r>
      <w:r w:rsidR="0043026D" w:rsidRPr="00DB6CEF">
        <w:rPr>
          <w:sz w:val="22"/>
          <w:szCs w:val="22"/>
        </w:rPr>
        <w:t xml:space="preserve">но п. 13 Требований, раздел должен содержать «Плановые значения показателей развития централизованных систем водоснабжения». Между тем, </w:t>
      </w:r>
      <w:proofErr w:type="gramStart"/>
      <w:r w:rsidR="0043026D" w:rsidRPr="00DB6CEF">
        <w:rPr>
          <w:sz w:val="22"/>
          <w:szCs w:val="22"/>
        </w:rPr>
        <w:t>п.1.7.(</w:t>
      </w:r>
      <w:proofErr w:type="gramEnd"/>
      <w:r w:rsidR="0043026D" w:rsidRPr="00DB6CEF">
        <w:rPr>
          <w:sz w:val="22"/>
          <w:szCs w:val="22"/>
        </w:rPr>
        <w:t xml:space="preserve">стр. 51, 52, табл. </w:t>
      </w:r>
      <w:r w:rsidRPr="00DB6CEF">
        <w:rPr>
          <w:sz w:val="22"/>
          <w:szCs w:val="22"/>
        </w:rPr>
        <w:t>1.7.1.</w:t>
      </w:r>
      <w:r w:rsidR="0043026D" w:rsidRPr="00DB6CEF">
        <w:rPr>
          <w:sz w:val="22"/>
          <w:szCs w:val="22"/>
        </w:rPr>
        <w:t>, 1.7.2. проекта содержат</w:t>
      </w:r>
      <w:r w:rsidRPr="00DB6CEF">
        <w:rPr>
          <w:sz w:val="22"/>
          <w:szCs w:val="22"/>
        </w:rPr>
        <w:t xml:space="preserve"> «Фактические и плановые значения показателей </w:t>
      </w:r>
      <w:r w:rsidR="0043026D" w:rsidRPr="00DB6CEF">
        <w:rPr>
          <w:sz w:val="22"/>
          <w:szCs w:val="22"/>
        </w:rPr>
        <w:t>развития …». Согласно ст. 39 Закона №416, п.8, 15 Перечня показателей надежности, качества, энергетической эффективности</w:t>
      </w:r>
      <w:proofErr w:type="gramStart"/>
      <w:r w:rsidR="0043026D" w:rsidRPr="00DB6CEF">
        <w:rPr>
          <w:sz w:val="22"/>
          <w:szCs w:val="22"/>
        </w:rPr>
        <w:t>…(</w:t>
      </w:r>
      <w:proofErr w:type="gramEnd"/>
      <w:r w:rsidR="0043026D" w:rsidRPr="00DB6CEF">
        <w:rPr>
          <w:sz w:val="22"/>
          <w:szCs w:val="22"/>
        </w:rPr>
        <w:t>утв. приказом Минстроя РФ от 04.04.2014 №162/</w:t>
      </w:r>
      <w:proofErr w:type="spellStart"/>
      <w:r w:rsidR="0043026D" w:rsidRPr="00DB6CEF">
        <w:rPr>
          <w:sz w:val="22"/>
          <w:szCs w:val="22"/>
        </w:rPr>
        <w:t>пр</w:t>
      </w:r>
      <w:proofErr w:type="spellEnd"/>
      <w:r w:rsidR="0043026D" w:rsidRPr="00DB6CEF">
        <w:rPr>
          <w:sz w:val="22"/>
          <w:szCs w:val="22"/>
        </w:rPr>
        <w:t xml:space="preserve"> плановые показатели рассчитываются на основании результатов технического обследования и фактических показател</w:t>
      </w:r>
      <w:r w:rsidR="00D34B5A" w:rsidRPr="00DB6CEF">
        <w:rPr>
          <w:sz w:val="22"/>
          <w:szCs w:val="22"/>
        </w:rPr>
        <w:t>ей</w:t>
      </w:r>
      <w:r w:rsidR="001C660F" w:rsidRPr="00DB6CEF">
        <w:rPr>
          <w:sz w:val="22"/>
          <w:szCs w:val="22"/>
        </w:rPr>
        <w:t xml:space="preserve">. </w:t>
      </w:r>
    </w:p>
    <w:p w:rsidR="00C73D31" w:rsidRDefault="00D34B5A" w:rsidP="00A30129">
      <w:pPr>
        <w:autoSpaceDE w:val="0"/>
        <w:autoSpaceDN w:val="0"/>
        <w:adjustRightInd w:val="0"/>
        <w:jc w:val="both"/>
        <w:rPr>
          <w:sz w:val="22"/>
          <w:szCs w:val="22"/>
        </w:rPr>
      </w:pPr>
      <w:r w:rsidRPr="00DB6CEF">
        <w:rPr>
          <w:sz w:val="22"/>
          <w:szCs w:val="22"/>
        </w:rPr>
        <w:lastRenderedPageBreak/>
        <w:tab/>
        <w:t xml:space="preserve">Техническое обследование осуществляется согласно ст. 37 Закона №416, Требований (утв. </w:t>
      </w:r>
      <w:r w:rsidRPr="00DB6CEF">
        <w:rPr>
          <w:sz w:val="22"/>
          <w:szCs w:val="22"/>
        </w:rPr>
        <w:t>Приказ</w:t>
      </w:r>
      <w:r w:rsidRPr="00DB6CEF">
        <w:rPr>
          <w:sz w:val="22"/>
          <w:szCs w:val="22"/>
        </w:rPr>
        <w:t>ом</w:t>
      </w:r>
      <w:r w:rsidR="00DB6CEF" w:rsidRPr="00DB6CEF">
        <w:rPr>
          <w:sz w:val="22"/>
          <w:szCs w:val="22"/>
        </w:rPr>
        <w:t xml:space="preserve"> Минстроя России от 05.08.2014 №</w:t>
      </w:r>
      <w:r w:rsidRPr="00DB6CEF">
        <w:rPr>
          <w:sz w:val="22"/>
          <w:szCs w:val="22"/>
        </w:rPr>
        <w:t>437/</w:t>
      </w:r>
      <w:proofErr w:type="spellStart"/>
      <w:r w:rsidRPr="00DB6CEF">
        <w:rPr>
          <w:sz w:val="22"/>
          <w:szCs w:val="22"/>
        </w:rPr>
        <w:t>пр</w:t>
      </w:r>
      <w:proofErr w:type="spellEnd"/>
      <w:r w:rsidRPr="00DB6CEF">
        <w:rPr>
          <w:sz w:val="22"/>
          <w:szCs w:val="22"/>
        </w:rPr>
        <w:t xml:space="preserve"> (далее – Требования о порядке ТО). Согласно п. 30 Требований о порядке ТО установлен порядок оформления результатов обследования в форме с императивно определенным содержанием, первым пунктом которого установлен </w:t>
      </w:r>
      <w:r w:rsidR="00DB6CEF" w:rsidRPr="00DB6CEF">
        <w:rPr>
          <w:sz w:val="22"/>
          <w:szCs w:val="22"/>
        </w:rPr>
        <w:t>перечень объектов, в отношении которых было пров</w:t>
      </w:r>
      <w:r w:rsidR="00DB6CEF" w:rsidRPr="00DB6CEF">
        <w:rPr>
          <w:sz w:val="22"/>
          <w:szCs w:val="22"/>
        </w:rPr>
        <w:t>едено техническое обследование. Проект не содержит указаний на акты(ы) технического обследования, перечня объектов его прошедших, что доказывает его отсутствие. КУМИ КГО располагает двумя ответами УЖКХ КГО из которых следует, что акты технического обслуживания в отношении объектов ЦС отсутствуют. Плановые и фактические показатели разрабатываются на основе ТО, следовательно, п.1.7. проекта</w:t>
      </w:r>
      <w:r w:rsidR="00C73D31">
        <w:rPr>
          <w:sz w:val="22"/>
          <w:szCs w:val="22"/>
        </w:rPr>
        <w:t>. Кроме того, сама схема водоснабжения, согласно ст. 38 Закона №416 утверждается с учетом результатов технического обследования которое не проводилось.</w:t>
      </w:r>
    </w:p>
    <w:p w:rsidR="00D34B5A" w:rsidRDefault="00C73D31" w:rsidP="00A30129">
      <w:pPr>
        <w:autoSpaceDE w:val="0"/>
        <w:autoSpaceDN w:val="0"/>
        <w:adjustRightInd w:val="0"/>
        <w:jc w:val="both"/>
        <w:rPr>
          <w:sz w:val="22"/>
          <w:szCs w:val="22"/>
        </w:rPr>
      </w:pPr>
      <w:r>
        <w:rPr>
          <w:sz w:val="22"/>
          <w:szCs w:val="22"/>
        </w:rPr>
        <w:tab/>
        <w:t xml:space="preserve">Дополнительно сообщаем, что инвестиционные и производственные программы, в соответствии с нормами ст. ст. 40, 41 Закона №416 также разрабатываются на основании результатов технического обследования. </w:t>
      </w:r>
    </w:p>
    <w:p w:rsidR="00CC1AA7" w:rsidRDefault="00C73D31" w:rsidP="00A30129">
      <w:pPr>
        <w:autoSpaceDE w:val="0"/>
        <w:autoSpaceDN w:val="0"/>
        <w:adjustRightInd w:val="0"/>
        <w:jc w:val="both"/>
        <w:rPr>
          <w:sz w:val="22"/>
          <w:szCs w:val="22"/>
        </w:rPr>
      </w:pPr>
      <w:r>
        <w:rPr>
          <w:sz w:val="22"/>
          <w:szCs w:val="22"/>
        </w:rPr>
        <w:tab/>
        <w:t>Счита</w:t>
      </w:r>
      <w:r w:rsidR="00CC1AA7">
        <w:rPr>
          <w:sz w:val="22"/>
          <w:szCs w:val="22"/>
        </w:rPr>
        <w:t>ем</w:t>
      </w:r>
      <w:r>
        <w:rPr>
          <w:sz w:val="22"/>
          <w:szCs w:val="22"/>
        </w:rPr>
        <w:t xml:space="preserve">, что </w:t>
      </w:r>
      <w:r w:rsidR="00CC1AA7">
        <w:rPr>
          <w:sz w:val="22"/>
          <w:szCs w:val="22"/>
        </w:rPr>
        <w:t>до момента его проведения любая схема не будет содержать достоверно установленных сведений о: техническом присоединении объектов; возможности их передачи в аренду (концессию); качестве воды; техническом состоянии ЦС и ее объектов; перечне объектов, что в свою очередь делает показатели эффективности, перечни планируемых мероприятий необоснованными – не-до-сто-вер-</w:t>
      </w:r>
      <w:proofErr w:type="spellStart"/>
      <w:r w:rsidR="00CC1AA7">
        <w:rPr>
          <w:sz w:val="22"/>
          <w:szCs w:val="22"/>
        </w:rPr>
        <w:t>ны</w:t>
      </w:r>
      <w:proofErr w:type="spellEnd"/>
      <w:r w:rsidR="00CC1AA7">
        <w:rPr>
          <w:sz w:val="22"/>
          <w:szCs w:val="22"/>
        </w:rPr>
        <w:t>-ми.</w:t>
      </w:r>
    </w:p>
    <w:p w:rsidR="00CC1AA7" w:rsidRDefault="00CC1AA7" w:rsidP="00A30129">
      <w:pPr>
        <w:autoSpaceDE w:val="0"/>
        <w:autoSpaceDN w:val="0"/>
        <w:adjustRightInd w:val="0"/>
        <w:jc w:val="both"/>
        <w:rPr>
          <w:sz w:val="22"/>
          <w:szCs w:val="22"/>
        </w:rPr>
      </w:pPr>
      <w:r>
        <w:rPr>
          <w:sz w:val="22"/>
          <w:szCs w:val="22"/>
        </w:rPr>
        <w:tab/>
        <w:t>Коллеги вы играете с огнем.</w:t>
      </w:r>
    </w:p>
    <w:p w:rsidR="00C73D31" w:rsidRPr="00DB6CEF" w:rsidRDefault="00CC1AA7" w:rsidP="00A30129">
      <w:pPr>
        <w:autoSpaceDE w:val="0"/>
        <w:autoSpaceDN w:val="0"/>
        <w:adjustRightInd w:val="0"/>
        <w:jc w:val="both"/>
        <w:rPr>
          <w:sz w:val="22"/>
          <w:szCs w:val="22"/>
        </w:rPr>
      </w:pPr>
      <w:r>
        <w:rPr>
          <w:sz w:val="22"/>
          <w:szCs w:val="22"/>
        </w:rPr>
        <w:t xml:space="preserve"> </w:t>
      </w:r>
    </w:p>
    <w:p w:rsidR="001A6F44" w:rsidRPr="00DB6CEF" w:rsidRDefault="00A30129" w:rsidP="00AA503A">
      <w:pPr>
        <w:autoSpaceDE w:val="0"/>
        <w:autoSpaceDN w:val="0"/>
        <w:adjustRightInd w:val="0"/>
        <w:jc w:val="both"/>
        <w:rPr>
          <w:sz w:val="22"/>
          <w:szCs w:val="22"/>
        </w:rPr>
      </w:pPr>
      <w:r w:rsidRPr="00DB6CEF">
        <w:rPr>
          <w:sz w:val="22"/>
          <w:szCs w:val="22"/>
        </w:rPr>
        <w:tab/>
      </w:r>
    </w:p>
    <w:p w:rsidR="00251E64" w:rsidRPr="00DB6CEF" w:rsidRDefault="00251E64" w:rsidP="007D2599">
      <w:pPr>
        <w:autoSpaceDE w:val="0"/>
        <w:autoSpaceDN w:val="0"/>
        <w:adjustRightInd w:val="0"/>
        <w:ind w:firstLine="540"/>
        <w:jc w:val="both"/>
        <w:rPr>
          <w:sz w:val="22"/>
          <w:szCs w:val="22"/>
        </w:rPr>
      </w:pPr>
    </w:p>
    <w:p w:rsidR="00E33BA6" w:rsidRPr="00DB6CEF" w:rsidRDefault="00E33BA6" w:rsidP="007F0258">
      <w:pPr>
        <w:autoSpaceDE w:val="0"/>
        <w:autoSpaceDN w:val="0"/>
        <w:adjustRightInd w:val="0"/>
        <w:ind w:firstLine="540"/>
        <w:jc w:val="both"/>
        <w:rPr>
          <w:sz w:val="22"/>
          <w:szCs w:val="22"/>
        </w:rPr>
      </w:pPr>
    </w:p>
    <w:p w:rsidR="00B1787A" w:rsidRPr="00DB6CEF" w:rsidRDefault="00B1787A" w:rsidP="007F0258">
      <w:pPr>
        <w:autoSpaceDE w:val="0"/>
        <w:autoSpaceDN w:val="0"/>
        <w:adjustRightInd w:val="0"/>
        <w:ind w:firstLine="540"/>
        <w:jc w:val="both"/>
        <w:rPr>
          <w:sz w:val="22"/>
          <w:szCs w:val="22"/>
        </w:rPr>
      </w:pPr>
    </w:p>
    <w:p w:rsidR="00A33E86" w:rsidRPr="00DB6CEF" w:rsidRDefault="00A33E86" w:rsidP="00402A89">
      <w:pPr>
        <w:autoSpaceDE w:val="0"/>
        <w:autoSpaceDN w:val="0"/>
        <w:adjustRightInd w:val="0"/>
        <w:ind w:firstLine="540"/>
        <w:jc w:val="both"/>
        <w:rPr>
          <w:sz w:val="22"/>
          <w:szCs w:val="22"/>
        </w:rPr>
      </w:pPr>
    </w:p>
    <w:p w:rsidR="0036589D" w:rsidRPr="00DB6CEF" w:rsidRDefault="0036589D" w:rsidP="0036589D">
      <w:pPr>
        <w:autoSpaceDE w:val="0"/>
        <w:autoSpaceDN w:val="0"/>
        <w:adjustRightInd w:val="0"/>
        <w:ind w:firstLine="540"/>
        <w:jc w:val="both"/>
        <w:rPr>
          <w:sz w:val="22"/>
          <w:szCs w:val="22"/>
        </w:rPr>
      </w:pPr>
    </w:p>
    <w:p w:rsidR="003F18E9" w:rsidRPr="00DB6CEF" w:rsidRDefault="003F18E9" w:rsidP="000C66F7">
      <w:pPr>
        <w:autoSpaceDE w:val="0"/>
        <w:autoSpaceDN w:val="0"/>
        <w:adjustRightInd w:val="0"/>
        <w:ind w:firstLine="540"/>
        <w:jc w:val="both"/>
        <w:rPr>
          <w:sz w:val="22"/>
          <w:szCs w:val="22"/>
        </w:rPr>
      </w:pPr>
    </w:p>
    <w:p w:rsidR="00664BEE" w:rsidRPr="00DB6CEF" w:rsidRDefault="00664BEE" w:rsidP="00664BEE">
      <w:pPr>
        <w:rPr>
          <w:sz w:val="22"/>
          <w:szCs w:val="22"/>
        </w:rPr>
      </w:pPr>
    </w:p>
    <w:p w:rsidR="007A35F9" w:rsidRDefault="0008117B" w:rsidP="006D5629">
      <w:pPr>
        <w:jc w:val="both"/>
        <w:rPr>
          <w:sz w:val="24"/>
          <w:szCs w:val="24"/>
        </w:rPr>
      </w:pPr>
      <w:r w:rsidRPr="0008117B">
        <w:rPr>
          <w:sz w:val="24"/>
          <w:szCs w:val="24"/>
        </w:rPr>
        <w:t>Председатель КУМИ г. Киселевска</w:t>
      </w:r>
      <w:r w:rsidRPr="0008117B">
        <w:rPr>
          <w:sz w:val="24"/>
          <w:szCs w:val="24"/>
        </w:rPr>
        <w:tab/>
      </w:r>
      <w:r w:rsidRPr="0008117B">
        <w:rPr>
          <w:sz w:val="24"/>
          <w:szCs w:val="24"/>
        </w:rPr>
        <w:tab/>
      </w:r>
      <w:r w:rsidRPr="0008117B">
        <w:rPr>
          <w:sz w:val="24"/>
          <w:szCs w:val="24"/>
        </w:rPr>
        <w:tab/>
      </w:r>
      <w:r w:rsidRPr="0008117B">
        <w:rPr>
          <w:sz w:val="24"/>
          <w:szCs w:val="24"/>
        </w:rPr>
        <w:tab/>
      </w:r>
      <w:r w:rsidRPr="0008117B">
        <w:rPr>
          <w:sz w:val="24"/>
          <w:szCs w:val="24"/>
        </w:rPr>
        <w:tab/>
        <w:t xml:space="preserve"> </w:t>
      </w:r>
      <w:r>
        <w:rPr>
          <w:sz w:val="24"/>
          <w:szCs w:val="24"/>
        </w:rPr>
        <w:t xml:space="preserve">      </w:t>
      </w:r>
      <w:r w:rsidR="006D5629">
        <w:rPr>
          <w:sz w:val="24"/>
          <w:szCs w:val="24"/>
        </w:rPr>
        <w:t xml:space="preserve">            </w:t>
      </w:r>
      <w:r w:rsidRPr="0008117B">
        <w:rPr>
          <w:sz w:val="24"/>
          <w:szCs w:val="24"/>
        </w:rPr>
        <w:t>В.А. Заздравных</w:t>
      </w:r>
    </w:p>
    <w:p w:rsidR="00D75DDE" w:rsidRPr="007A35F9" w:rsidRDefault="00D75DDE" w:rsidP="007A35F9">
      <w:pPr>
        <w:jc w:val="both"/>
        <w:rPr>
          <w:sz w:val="24"/>
          <w:szCs w:val="24"/>
        </w:rPr>
      </w:pPr>
      <w:r>
        <w:rPr>
          <w:sz w:val="24"/>
          <w:szCs w:val="24"/>
        </w:rPr>
        <w:tab/>
      </w:r>
    </w:p>
    <w:p w:rsidR="006C10CC" w:rsidRDefault="006C10CC" w:rsidP="00407FDD">
      <w:pPr>
        <w:jc w:val="both"/>
        <w:rPr>
          <w:sz w:val="28"/>
        </w:rPr>
      </w:pPr>
    </w:p>
    <w:p w:rsidR="001024C0" w:rsidRPr="006A29FC" w:rsidRDefault="00924CA2" w:rsidP="00924CA2">
      <w:pPr>
        <w:rPr>
          <w:sz w:val="24"/>
          <w:szCs w:val="24"/>
        </w:rPr>
      </w:pPr>
      <w:bookmarkStart w:id="1" w:name="НомерДоговора"/>
      <w:bookmarkStart w:id="2" w:name="ДатаЗаключенияДоговора"/>
      <w:bookmarkStart w:id="3" w:name="ДатаОкончанияДоговора"/>
      <w:bookmarkStart w:id="4" w:name="КонтрагентТелефон"/>
      <w:bookmarkStart w:id="5" w:name="КонтрагентИОФамилия"/>
      <w:bookmarkStart w:id="6" w:name="АдресОбъекта"/>
      <w:bookmarkStart w:id="7" w:name="ПлощадьОбъекта"/>
      <w:bookmarkStart w:id="8" w:name="КоэфКС"/>
      <w:bookmarkStart w:id="9" w:name="КоэфКв"/>
      <w:bookmarkStart w:id="10" w:name="КоэфКи"/>
      <w:bookmarkStart w:id="11" w:name="КоэфКу"/>
      <w:bookmarkStart w:id="12" w:name="КоэфКк"/>
      <w:bookmarkStart w:id="13" w:name="КоэфКп"/>
      <w:bookmarkEnd w:id="1"/>
      <w:bookmarkEnd w:id="2"/>
      <w:bookmarkEnd w:id="3"/>
      <w:bookmarkEnd w:id="4"/>
      <w:bookmarkEnd w:id="5"/>
      <w:bookmarkEnd w:id="6"/>
      <w:bookmarkEnd w:id="7"/>
      <w:bookmarkEnd w:id="8"/>
      <w:bookmarkEnd w:id="9"/>
      <w:bookmarkEnd w:id="10"/>
      <w:bookmarkEnd w:id="11"/>
      <w:bookmarkEnd w:id="12"/>
      <w:bookmarkEnd w:id="13"/>
      <w:r>
        <w:rPr>
          <w:sz w:val="24"/>
          <w:szCs w:val="24"/>
        </w:rPr>
        <w:tab/>
      </w:r>
    </w:p>
    <w:tbl>
      <w:tblPr>
        <w:tblW w:w="0" w:type="auto"/>
        <w:tblLook w:val="04A0" w:firstRow="1" w:lastRow="0" w:firstColumn="1" w:lastColumn="0" w:noHBand="0" w:noVBand="1"/>
      </w:tblPr>
      <w:tblGrid>
        <w:gridCol w:w="4219"/>
        <w:gridCol w:w="5352"/>
      </w:tblGrid>
      <w:tr w:rsidR="001024C0" w:rsidRPr="006A29FC">
        <w:tc>
          <w:tcPr>
            <w:tcW w:w="4219" w:type="dxa"/>
            <w:shd w:val="clear" w:color="auto" w:fill="auto"/>
          </w:tcPr>
          <w:p w:rsidR="001024C0" w:rsidRPr="001024C0" w:rsidRDefault="001024C0" w:rsidP="00254B85">
            <w:pPr>
              <w:rPr>
                <w:sz w:val="24"/>
                <w:szCs w:val="24"/>
              </w:rPr>
            </w:pPr>
          </w:p>
        </w:tc>
        <w:tc>
          <w:tcPr>
            <w:tcW w:w="5352" w:type="dxa"/>
            <w:shd w:val="clear" w:color="auto" w:fill="auto"/>
          </w:tcPr>
          <w:p w:rsidR="001024C0" w:rsidRPr="006A29FC" w:rsidRDefault="001024C0" w:rsidP="001024C0">
            <w:pPr>
              <w:jc w:val="right"/>
              <w:rPr>
                <w:sz w:val="24"/>
                <w:szCs w:val="24"/>
              </w:rPr>
            </w:pPr>
          </w:p>
        </w:tc>
      </w:tr>
      <w:tr w:rsidR="006C2315" w:rsidRPr="006A29FC">
        <w:tc>
          <w:tcPr>
            <w:tcW w:w="4219" w:type="dxa"/>
            <w:shd w:val="clear" w:color="auto" w:fill="auto"/>
          </w:tcPr>
          <w:p w:rsidR="006C2315" w:rsidRDefault="006C2315" w:rsidP="001024C0">
            <w:pPr>
              <w:rPr>
                <w:sz w:val="24"/>
                <w:szCs w:val="24"/>
              </w:rPr>
            </w:pPr>
          </w:p>
        </w:tc>
        <w:tc>
          <w:tcPr>
            <w:tcW w:w="5352" w:type="dxa"/>
            <w:shd w:val="clear" w:color="auto" w:fill="auto"/>
          </w:tcPr>
          <w:p w:rsidR="006C2315" w:rsidRPr="006A29FC" w:rsidRDefault="006C2315" w:rsidP="001024C0">
            <w:pPr>
              <w:jc w:val="right"/>
              <w:rPr>
                <w:sz w:val="24"/>
                <w:szCs w:val="24"/>
              </w:rPr>
            </w:pPr>
          </w:p>
        </w:tc>
      </w:tr>
      <w:tr w:rsidR="006C2315" w:rsidRPr="006A29FC">
        <w:tc>
          <w:tcPr>
            <w:tcW w:w="4219" w:type="dxa"/>
            <w:shd w:val="clear" w:color="auto" w:fill="auto"/>
          </w:tcPr>
          <w:p w:rsidR="006C2315" w:rsidRDefault="006C2315" w:rsidP="001024C0">
            <w:pPr>
              <w:rPr>
                <w:sz w:val="24"/>
                <w:szCs w:val="24"/>
              </w:rPr>
            </w:pPr>
          </w:p>
        </w:tc>
        <w:tc>
          <w:tcPr>
            <w:tcW w:w="5352" w:type="dxa"/>
            <w:shd w:val="clear" w:color="auto" w:fill="auto"/>
          </w:tcPr>
          <w:p w:rsidR="006C2315" w:rsidRPr="006A29FC" w:rsidRDefault="006C2315" w:rsidP="001024C0">
            <w:pPr>
              <w:jc w:val="right"/>
              <w:rPr>
                <w:sz w:val="24"/>
                <w:szCs w:val="24"/>
              </w:rPr>
            </w:pPr>
          </w:p>
        </w:tc>
      </w:tr>
    </w:tbl>
    <w:p w:rsidR="00833D44" w:rsidRDefault="00833D44" w:rsidP="001024C0">
      <w:pPr>
        <w:jc w:val="center"/>
      </w:pPr>
    </w:p>
    <w:sectPr w:rsidR="00833D44" w:rsidSect="008844B4">
      <w:footerReference w:type="default" r:id="rId10"/>
      <w:pgSz w:w="11906" w:h="16838"/>
      <w:pgMar w:top="568" w:right="566"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A2" w:rsidRDefault="00C865A2" w:rsidP="00977177">
      <w:r>
        <w:separator/>
      </w:r>
    </w:p>
  </w:endnote>
  <w:endnote w:type="continuationSeparator" w:id="0">
    <w:p w:rsidR="00C865A2" w:rsidRDefault="00C865A2" w:rsidP="009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958566"/>
      <w:docPartObj>
        <w:docPartGallery w:val="Page Numbers (Bottom of Page)"/>
        <w:docPartUnique/>
      </w:docPartObj>
    </w:sdtPr>
    <w:sdtContent>
      <w:p w:rsidR="0043026D" w:rsidRDefault="0043026D">
        <w:pPr>
          <w:pStyle w:val="ab"/>
          <w:jc w:val="center"/>
        </w:pPr>
        <w:r>
          <w:fldChar w:fldCharType="begin"/>
        </w:r>
        <w:r>
          <w:instrText>PAGE   \* MERGEFORMAT</w:instrText>
        </w:r>
        <w:r>
          <w:fldChar w:fldCharType="separate"/>
        </w:r>
        <w:r w:rsidR="008F36CF">
          <w:rPr>
            <w:noProof/>
          </w:rPr>
          <w:t>1</w:t>
        </w:r>
        <w:r>
          <w:fldChar w:fldCharType="end"/>
        </w:r>
      </w:p>
    </w:sdtContent>
  </w:sdt>
  <w:p w:rsidR="0043026D" w:rsidRDefault="004302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A2" w:rsidRDefault="00C865A2" w:rsidP="00977177">
      <w:r>
        <w:separator/>
      </w:r>
    </w:p>
  </w:footnote>
  <w:footnote w:type="continuationSeparator" w:id="0">
    <w:p w:rsidR="00C865A2" w:rsidRDefault="00C865A2" w:rsidP="009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46CF"/>
    <w:multiLevelType w:val="hybridMultilevel"/>
    <w:tmpl w:val="6656470E"/>
    <w:lvl w:ilvl="0" w:tplc="6D8AB134">
      <w:start w:val="1"/>
      <w:numFmt w:val="decimal"/>
      <w:lvlText w:val="%1."/>
      <w:lvlJc w:val="left"/>
      <w:pPr>
        <w:ind w:left="2345" w:hanging="360"/>
      </w:pPr>
      <w:rPr>
        <w:rFonts w:hint="default"/>
        <w:b w:val="0"/>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22361ECD"/>
    <w:multiLevelType w:val="hybridMultilevel"/>
    <w:tmpl w:val="B1AA709E"/>
    <w:lvl w:ilvl="0" w:tplc="6D8AB134">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AA0561"/>
    <w:multiLevelType w:val="hybridMultilevel"/>
    <w:tmpl w:val="FD9CEB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3426D9E"/>
    <w:multiLevelType w:val="hybridMultilevel"/>
    <w:tmpl w:val="0D46A84A"/>
    <w:lvl w:ilvl="0" w:tplc="6D8AB134">
      <w:start w:val="1"/>
      <w:numFmt w:val="decimal"/>
      <w:lvlText w:val="%1."/>
      <w:lvlJc w:val="left"/>
      <w:pPr>
        <w:ind w:left="1977" w:hanging="360"/>
      </w:pPr>
      <w:rPr>
        <w:rFonts w:hint="default"/>
        <w:b w:val="0"/>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15:restartNumberingAfterBreak="0">
    <w:nsid w:val="553F07C3"/>
    <w:multiLevelType w:val="hybridMultilevel"/>
    <w:tmpl w:val="9D180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E84CCC"/>
    <w:multiLevelType w:val="hybridMultilevel"/>
    <w:tmpl w:val="8DA2EE5C"/>
    <w:lvl w:ilvl="0" w:tplc="6D8AB1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9734F5"/>
    <w:multiLevelType w:val="hybridMultilevel"/>
    <w:tmpl w:val="908CB6A4"/>
    <w:lvl w:ilvl="0" w:tplc="6D8AB13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7B07332"/>
    <w:multiLevelType w:val="singleLevel"/>
    <w:tmpl w:val="1A52FCA4"/>
    <w:lvl w:ilvl="0">
      <w:start w:val="2"/>
      <w:numFmt w:val="bullet"/>
      <w:lvlText w:val="-"/>
      <w:lvlJc w:val="left"/>
      <w:pPr>
        <w:tabs>
          <w:tab w:val="num" w:pos="840"/>
        </w:tabs>
        <w:ind w:left="840" w:hanging="360"/>
      </w:pPr>
      <w:rPr>
        <w:rFonts w:hint="default"/>
      </w:rPr>
    </w:lvl>
  </w:abstractNum>
  <w:abstractNum w:abstractNumId="8" w15:restartNumberingAfterBreak="0">
    <w:nsid w:val="7D697A5C"/>
    <w:multiLevelType w:val="hybridMultilevel"/>
    <w:tmpl w:val="F1A84FC0"/>
    <w:lvl w:ilvl="0" w:tplc="11EE2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6"/>
  </w:num>
  <w:num w:numId="5">
    <w:abstractNumId w:val="0"/>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5"/>
    <w:rsid w:val="00024CC0"/>
    <w:rsid w:val="00031EAE"/>
    <w:rsid w:val="0005574C"/>
    <w:rsid w:val="00070AEA"/>
    <w:rsid w:val="000746CE"/>
    <w:rsid w:val="0008117B"/>
    <w:rsid w:val="0009715F"/>
    <w:rsid w:val="000A4715"/>
    <w:rsid w:val="000B1118"/>
    <w:rsid w:val="000B7F3C"/>
    <w:rsid w:val="000C66F7"/>
    <w:rsid w:val="000D1AEB"/>
    <w:rsid w:val="001024C0"/>
    <w:rsid w:val="001030C3"/>
    <w:rsid w:val="0011653F"/>
    <w:rsid w:val="00190E75"/>
    <w:rsid w:val="001A6F44"/>
    <w:rsid w:val="001B693A"/>
    <w:rsid w:val="001C2124"/>
    <w:rsid w:val="001C233F"/>
    <w:rsid w:val="001C3638"/>
    <w:rsid w:val="001C660F"/>
    <w:rsid w:val="001C6FE4"/>
    <w:rsid w:val="00250945"/>
    <w:rsid w:val="00251E64"/>
    <w:rsid w:val="00254B85"/>
    <w:rsid w:val="002F79F7"/>
    <w:rsid w:val="00305730"/>
    <w:rsid w:val="00316B9B"/>
    <w:rsid w:val="003570F2"/>
    <w:rsid w:val="0036589D"/>
    <w:rsid w:val="00366046"/>
    <w:rsid w:val="00367FFC"/>
    <w:rsid w:val="00371CE4"/>
    <w:rsid w:val="003C05C9"/>
    <w:rsid w:val="003F18E9"/>
    <w:rsid w:val="004028F1"/>
    <w:rsid w:val="00402A89"/>
    <w:rsid w:val="00404750"/>
    <w:rsid w:val="00407FDD"/>
    <w:rsid w:val="004174FC"/>
    <w:rsid w:val="0043026D"/>
    <w:rsid w:val="00455BC1"/>
    <w:rsid w:val="00474000"/>
    <w:rsid w:val="004B06E5"/>
    <w:rsid w:val="004E7E8F"/>
    <w:rsid w:val="0054336D"/>
    <w:rsid w:val="00552DB2"/>
    <w:rsid w:val="00597E83"/>
    <w:rsid w:val="005A52D9"/>
    <w:rsid w:val="005D1CA4"/>
    <w:rsid w:val="005E2925"/>
    <w:rsid w:val="0060603D"/>
    <w:rsid w:val="00626A03"/>
    <w:rsid w:val="0065451D"/>
    <w:rsid w:val="00664BEE"/>
    <w:rsid w:val="006973CF"/>
    <w:rsid w:val="006A1215"/>
    <w:rsid w:val="006A3740"/>
    <w:rsid w:val="006C10CC"/>
    <w:rsid w:val="006C2315"/>
    <w:rsid w:val="006C53E5"/>
    <w:rsid w:val="006D5629"/>
    <w:rsid w:val="006D7BBD"/>
    <w:rsid w:val="00716DDF"/>
    <w:rsid w:val="00732BC1"/>
    <w:rsid w:val="007335DB"/>
    <w:rsid w:val="0073672E"/>
    <w:rsid w:val="007619EC"/>
    <w:rsid w:val="007622B1"/>
    <w:rsid w:val="007A17EB"/>
    <w:rsid w:val="007A35F9"/>
    <w:rsid w:val="007B0733"/>
    <w:rsid w:val="007D2599"/>
    <w:rsid w:val="007F0258"/>
    <w:rsid w:val="00833D44"/>
    <w:rsid w:val="008844B4"/>
    <w:rsid w:val="008A3166"/>
    <w:rsid w:val="008A4BB0"/>
    <w:rsid w:val="008F36CF"/>
    <w:rsid w:val="009024BF"/>
    <w:rsid w:val="00924CA2"/>
    <w:rsid w:val="00977177"/>
    <w:rsid w:val="00982286"/>
    <w:rsid w:val="009840DA"/>
    <w:rsid w:val="009A4709"/>
    <w:rsid w:val="00A1413C"/>
    <w:rsid w:val="00A1757D"/>
    <w:rsid w:val="00A30129"/>
    <w:rsid w:val="00A30A88"/>
    <w:rsid w:val="00A33E86"/>
    <w:rsid w:val="00A75023"/>
    <w:rsid w:val="00AA503A"/>
    <w:rsid w:val="00AE0C4A"/>
    <w:rsid w:val="00B03091"/>
    <w:rsid w:val="00B1787A"/>
    <w:rsid w:val="00B3549F"/>
    <w:rsid w:val="00B439B3"/>
    <w:rsid w:val="00B856CB"/>
    <w:rsid w:val="00BA1FA8"/>
    <w:rsid w:val="00BB2A7F"/>
    <w:rsid w:val="00BF11C4"/>
    <w:rsid w:val="00BF3C2A"/>
    <w:rsid w:val="00C03E83"/>
    <w:rsid w:val="00C31A5D"/>
    <w:rsid w:val="00C625A5"/>
    <w:rsid w:val="00C73D31"/>
    <w:rsid w:val="00C748A2"/>
    <w:rsid w:val="00C74C73"/>
    <w:rsid w:val="00C865A2"/>
    <w:rsid w:val="00C86624"/>
    <w:rsid w:val="00C8799E"/>
    <w:rsid w:val="00C9673B"/>
    <w:rsid w:val="00CC1AA7"/>
    <w:rsid w:val="00CD6577"/>
    <w:rsid w:val="00CF6779"/>
    <w:rsid w:val="00D02D51"/>
    <w:rsid w:val="00D214F8"/>
    <w:rsid w:val="00D32061"/>
    <w:rsid w:val="00D34B5A"/>
    <w:rsid w:val="00D701C3"/>
    <w:rsid w:val="00D75DDE"/>
    <w:rsid w:val="00D8685A"/>
    <w:rsid w:val="00D91A86"/>
    <w:rsid w:val="00DB6CEF"/>
    <w:rsid w:val="00DC2C84"/>
    <w:rsid w:val="00DD637C"/>
    <w:rsid w:val="00DE6D73"/>
    <w:rsid w:val="00E02435"/>
    <w:rsid w:val="00E20741"/>
    <w:rsid w:val="00E33BA6"/>
    <w:rsid w:val="00E757FE"/>
    <w:rsid w:val="00EB5B5E"/>
    <w:rsid w:val="00ED1DFA"/>
    <w:rsid w:val="00ED1EA2"/>
    <w:rsid w:val="00EF68BD"/>
    <w:rsid w:val="00EF6A62"/>
    <w:rsid w:val="00F42D0D"/>
    <w:rsid w:val="00F74E63"/>
    <w:rsid w:val="00F76DFE"/>
    <w:rsid w:val="00F77E2E"/>
    <w:rsid w:val="00FA3AB9"/>
    <w:rsid w:val="00FE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C33CB0-2261-4C8D-87E5-5239318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pPr>
      <w:keepNext/>
      <w:spacing w:before="240" w:after="60"/>
      <w:outlineLvl w:val="2"/>
    </w:pPr>
    <w:rPr>
      <w:rFonts w:ascii="Arial" w:hAnsi="Arial"/>
      <w:sz w:val="24"/>
    </w:rPr>
  </w:style>
  <w:style w:type="paragraph" w:styleId="4">
    <w:name w:val="heading 4"/>
    <w:basedOn w:val="a"/>
    <w:next w:val="a"/>
    <w:link w:val="40"/>
    <w:qFormat/>
    <w:rsid w:val="006C10C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2">
    <w:name w:val="Body Text 2"/>
    <w:basedOn w:val="a"/>
    <w:pPr>
      <w:jc w:val="both"/>
    </w:pPr>
    <w:rPr>
      <w:b/>
      <w:bCs/>
      <w:sz w:val="24"/>
    </w:rPr>
  </w:style>
  <w:style w:type="paragraph" w:styleId="31">
    <w:name w:val="Body Text 3"/>
    <w:basedOn w:val="a"/>
    <w:pPr>
      <w:ind w:right="-99"/>
      <w:jc w:val="both"/>
    </w:pPr>
    <w:rPr>
      <w:sz w:val="24"/>
    </w:rPr>
  </w:style>
  <w:style w:type="character" w:customStyle="1" w:styleId="40">
    <w:name w:val="Заголовок 4 Знак"/>
    <w:basedOn w:val="a0"/>
    <w:link w:val="4"/>
    <w:semiHidden/>
    <w:rsid w:val="006C10CC"/>
    <w:rPr>
      <w:rFonts w:ascii="Calibri" w:eastAsia="Times New Roman" w:hAnsi="Calibri" w:cs="Times New Roman"/>
      <w:b/>
      <w:bCs/>
      <w:sz w:val="28"/>
      <w:szCs w:val="28"/>
    </w:rPr>
  </w:style>
  <w:style w:type="paragraph" w:styleId="a4">
    <w:name w:val="Body Text Indent"/>
    <w:basedOn w:val="a"/>
    <w:link w:val="a5"/>
    <w:rsid w:val="006C10CC"/>
    <w:pPr>
      <w:spacing w:after="120"/>
      <w:ind w:left="283"/>
    </w:pPr>
  </w:style>
  <w:style w:type="character" w:customStyle="1" w:styleId="a5">
    <w:name w:val="Основной текст с отступом Знак"/>
    <w:basedOn w:val="a0"/>
    <w:link w:val="a4"/>
    <w:rsid w:val="006C10CC"/>
  </w:style>
  <w:style w:type="character" w:customStyle="1" w:styleId="30">
    <w:name w:val="Заголовок 3 Знак"/>
    <w:basedOn w:val="a0"/>
    <w:link w:val="3"/>
    <w:rsid w:val="00366046"/>
    <w:rPr>
      <w:rFonts w:ascii="Arial" w:hAnsi="Arial"/>
      <w:sz w:val="24"/>
    </w:rPr>
  </w:style>
  <w:style w:type="paragraph" w:styleId="a6">
    <w:name w:val="Balloon Text"/>
    <w:basedOn w:val="a"/>
    <w:link w:val="a7"/>
    <w:rsid w:val="009840DA"/>
    <w:rPr>
      <w:rFonts w:ascii="Tahoma" w:hAnsi="Tahoma" w:cs="Tahoma"/>
      <w:sz w:val="16"/>
      <w:szCs w:val="16"/>
    </w:rPr>
  </w:style>
  <w:style w:type="character" w:customStyle="1" w:styleId="a7">
    <w:name w:val="Текст выноски Знак"/>
    <w:basedOn w:val="a0"/>
    <w:link w:val="a6"/>
    <w:rsid w:val="009840DA"/>
    <w:rPr>
      <w:rFonts w:ascii="Tahoma" w:hAnsi="Tahoma" w:cs="Tahoma"/>
      <w:sz w:val="16"/>
      <w:szCs w:val="16"/>
    </w:rPr>
  </w:style>
  <w:style w:type="paragraph" w:styleId="a8">
    <w:name w:val="List Paragraph"/>
    <w:basedOn w:val="a"/>
    <w:uiPriority w:val="34"/>
    <w:qFormat/>
    <w:rsid w:val="00C9673B"/>
    <w:pPr>
      <w:ind w:left="720"/>
      <w:contextualSpacing/>
    </w:pPr>
  </w:style>
  <w:style w:type="paragraph" w:styleId="a9">
    <w:name w:val="header"/>
    <w:basedOn w:val="a"/>
    <w:link w:val="aa"/>
    <w:unhideWhenUsed/>
    <w:rsid w:val="00977177"/>
    <w:pPr>
      <w:tabs>
        <w:tab w:val="center" w:pos="4677"/>
        <w:tab w:val="right" w:pos="9355"/>
      </w:tabs>
    </w:pPr>
  </w:style>
  <w:style w:type="character" w:customStyle="1" w:styleId="aa">
    <w:name w:val="Верхний колонтитул Знак"/>
    <w:basedOn w:val="a0"/>
    <w:link w:val="a9"/>
    <w:rsid w:val="00977177"/>
  </w:style>
  <w:style w:type="paragraph" w:styleId="ab">
    <w:name w:val="footer"/>
    <w:basedOn w:val="a"/>
    <w:link w:val="ac"/>
    <w:uiPriority w:val="99"/>
    <w:unhideWhenUsed/>
    <w:rsid w:val="00977177"/>
    <w:pPr>
      <w:tabs>
        <w:tab w:val="center" w:pos="4677"/>
        <w:tab w:val="right" w:pos="9355"/>
      </w:tabs>
    </w:pPr>
  </w:style>
  <w:style w:type="character" w:customStyle="1" w:styleId="ac">
    <w:name w:val="Нижний колонтитул Знак"/>
    <w:basedOn w:val="a0"/>
    <w:link w:val="ab"/>
    <w:uiPriority w:val="99"/>
    <w:rsid w:val="00977177"/>
  </w:style>
  <w:style w:type="character" w:styleId="ad">
    <w:name w:val="Hyperlink"/>
    <w:basedOn w:val="a0"/>
    <w:uiPriority w:val="99"/>
    <w:semiHidden/>
    <w:unhideWhenUsed/>
    <w:rsid w:val="0008117B"/>
    <w:rPr>
      <w:color w:val="0000FF"/>
      <w:u w:val="single"/>
    </w:rPr>
  </w:style>
  <w:style w:type="paragraph" w:customStyle="1" w:styleId="ConsPlusNormal">
    <w:name w:val="ConsPlusNormal"/>
    <w:rsid w:val="00664BEE"/>
    <w:pPr>
      <w:widowControl w:val="0"/>
      <w:autoSpaceDE w:val="0"/>
      <w:autoSpaceDN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3786">
      <w:bodyDiv w:val="1"/>
      <w:marLeft w:val="0"/>
      <w:marRight w:val="0"/>
      <w:marTop w:val="0"/>
      <w:marBottom w:val="0"/>
      <w:divBdr>
        <w:top w:val="none" w:sz="0" w:space="0" w:color="auto"/>
        <w:left w:val="none" w:sz="0" w:space="0" w:color="auto"/>
        <w:bottom w:val="none" w:sz="0" w:space="0" w:color="auto"/>
        <w:right w:val="none" w:sz="0" w:space="0" w:color="auto"/>
      </w:divBdr>
    </w:div>
    <w:div w:id="21161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2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63210&amp;dst=100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ases-1c8\BGU\&#1064;&#1072;&#1073;&#1083;&#1086;&#1085;&#1055;&#1088;&#1077;&#1090;&#1077;&#1085;&#1079;&#1080;&#1103;_.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ШаблонПретензия_</Template>
  <TotalTime>1529</TotalTime>
  <Pages>1</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Sergey</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КнязеваО</dc:creator>
  <cp:lastModifiedBy>Председатель КУМИ</cp:lastModifiedBy>
  <cp:revision>7</cp:revision>
  <cp:lastPrinted>2024-02-06T07:00:00Z</cp:lastPrinted>
  <dcterms:created xsi:type="dcterms:W3CDTF">2023-09-01T03:51:00Z</dcterms:created>
  <dcterms:modified xsi:type="dcterms:W3CDTF">2024-02-06T07:04:00Z</dcterms:modified>
</cp:coreProperties>
</file>